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bookmarkStart w:id="0" w:name="_GoBack"/>
      <w:bookmarkEnd w:id="0"/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2F36D0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…………………………………………….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EB0FC3">
        <w:rPr>
          <w:rFonts w:ascii="Cambria" w:hAnsi="Cambria" w:cs="Arial"/>
          <w:b w:val="0"/>
          <w:bCs/>
          <w:sz w:val="20"/>
        </w:rPr>
        <w:t xml:space="preserve">oraz </w:t>
      </w:r>
    </w:p>
    <w:p w:rsidR="007325A4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 xml:space="preserve">Wspólnota Mieszkaniowa  </w:t>
      </w:r>
      <w:r w:rsidR="00BA5666">
        <w:rPr>
          <w:rFonts w:ascii="Cambria" w:hAnsi="Cambria" w:cs="Arial"/>
          <w:bCs/>
          <w:sz w:val="20"/>
        </w:rPr>
        <w:t>…………………………</w:t>
      </w:r>
    </w:p>
    <w:p w:rsidR="00435AB7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NIP………………………………………</w:t>
      </w:r>
    </w:p>
    <w:p w:rsidR="00435AB7" w:rsidRPr="00EB0FC3" w:rsidRDefault="00435AB7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zwana dalej „Odbiorcą zadania”</w:t>
      </w:r>
    </w:p>
    <w:p w:rsidR="00BF0B98" w:rsidRPr="00EB0FC3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EB0FC3">
        <w:rPr>
          <w:rFonts w:ascii="Cambria" w:hAnsi="Cambria" w:cs="Arial"/>
          <w:bCs/>
          <w:sz w:val="20"/>
        </w:rPr>
        <w:t>a</w:t>
      </w:r>
      <w:r w:rsidRPr="00EB0FC3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E17AAD" w:rsidRPr="00E17AAD" w:rsidRDefault="00BF0B98" w:rsidP="00E17AAD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zamówienia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  <w:r w:rsidR="00E17AAD">
        <w:rPr>
          <w:rFonts w:ascii="Cambria" w:eastAsia="Calibri" w:hAnsi="Cambria" w:cs="Arial"/>
          <w:b/>
          <w:i/>
          <w:sz w:val="20"/>
          <w:szCs w:val="20"/>
        </w:rPr>
        <w:t>Termomodernizację</w:t>
      </w:r>
      <w:r w:rsidR="00E17AAD" w:rsidRPr="00E17AAD">
        <w:rPr>
          <w:rFonts w:ascii="Cambria" w:eastAsia="Calibri" w:hAnsi="Cambria" w:cs="Arial"/>
          <w:b/>
          <w:i/>
          <w:sz w:val="20"/>
          <w:szCs w:val="20"/>
        </w:rPr>
        <w:t xml:space="preserve"> budynków wielorodzinnych na terenie Gminy Charsznica</w:t>
      </w:r>
      <w:r w:rsidR="00E17AAD">
        <w:rPr>
          <w:rFonts w:ascii="Cambria" w:eastAsia="Calibri" w:hAnsi="Cambria" w:cs="Arial"/>
          <w:b/>
          <w:i/>
          <w:sz w:val="20"/>
          <w:szCs w:val="20"/>
        </w:rPr>
        <w:t>.</w:t>
      </w:r>
    </w:p>
    <w:p w:rsidR="00D633AF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2F36D0" w:rsidRDefault="002F36D0" w:rsidP="002F36D0">
      <w:pPr>
        <w:pStyle w:val="Zwykytekst"/>
        <w:jc w:val="both"/>
        <w:rPr>
          <w:rFonts w:ascii="Cambria" w:hAnsi="Cambria"/>
          <w:b/>
          <w:sz w:val="20"/>
          <w:szCs w:val="20"/>
        </w:rPr>
      </w:pPr>
      <w:r w:rsidRPr="00F4303E">
        <w:rPr>
          <w:rFonts w:ascii="Cambria" w:hAnsi="Cambria"/>
          <w:b/>
          <w:sz w:val="20"/>
          <w:szCs w:val="20"/>
        </w:rPr>
        <w:t>Przedmiot zamówienia dofinansowany ze środków Unii Europejskiej w ramach Regionalnego Programu Operacyjnego Województwa Małopolskiego na lata 2014-2020, Oś 11 Rewitalizacja przestrzeni regionalnej, Działanie 11.2 Odnowa obszarów wiejskich.</w:t>
      </w:r>
      <w:r>
        <w:rPr>
          <w:rFonts w:ascii="Cambria" w:hAnsi="Cambria"/>
          <w:b/>
          <w:sz w:val="20"/>
          <w:szCs w:val="20"/>
        </w:rPr>
        <w:t xml:space="preserve">  </w:t>
      </w:r>
    </w:p>
    <w:p w:rsidR="00305F85" w:rsidRPr="00C00E34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Zakres przedmiotu umowy określa dokumentacja projektowa, specyfikacja techniczna wykonania i odbioru robót budowlanych, zapisy specyfikacji istotnych warunków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Wykonawca</w:t>
      </w:r>
      <w:r w:rsidRPr="00BF0B9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BF0B98">
        <w:rPr>
          <w:rFonts w:ascii="Cambria" w:hAnsi="Cambria" w:cs="Arial"/>
          <w:b w:val="0"/>
          <w:sz w:val="20"/>
        </w:rPr>
        <w:t>dokumentacją projektową</w:t>
      </w:r>
      <w:r w:rsidRPr="00BF0B9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BF0B9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BF0B98">
        <w:rPr>
          <w:rFonts w:ascii="Cambria" w:hAnsi="Cambria" w:cs="Arial"/>
          <w:b w:val="0"/>
          <w:bCs/>
          <w:sz w:val="20"/>
        </w:rPr>
        <w:t>i uznaje je za wystarczające do realizacji zamówienia.</w:t>
      </w:r>
    </w:p>
    <w:p w:rsidR="00BF0B98" w:rsidRP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Strony ustalają następujące terminy realizacji:</w:t>
      </w:r>
    </w:p>
    <w:p w:rsidR="00BF0B98" w:rsidRPr="00BF0B98" w:rsidRDefault="00BF0B98" w:rsidP="004912B9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305F85" w:rsidRDefault="00BF0B98" w:rsidP="00B5040C">
      <w:pPr>
        <w:numPr>
          <w:ilvl w:val="0"/>
          <w:numId w:val="29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</w:t>
      </w:r>
      <w:r w:rsidRPr="00BF0B98">
        <w:rPr>
          <w:rFonts w:ascii="Cambria" w:hAnsi="Cambria" w:cs="Arial"/>
          <w:sz w:val="20"/>
          <w:szCs w:val="20"/>
        </w:rPr>
        <w:t xml:space="preserve">akończenie robót </w:t>
      </w:r>
      <w:r>
        <w:rPr>
          <w:rFonts w:ascii="Cambria" w:hAnsi="Cambria" w:cs="Arial"/>
          <w:sz w:val="20"/>
          <w:szCs w:val="20"/>
        </w:rPr>
        <w:t>nastąpi w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="00823356">
        <w:rPr>
          <w:rFonts w:ascii="Cambria" w:hAnsi="Cambria" w:cs="Arial"/>
          <w:sz w:val="20"/>
          <w:szCs w:val="20"/>
        </w:rPr>
        <w:t>dniu</w:t>
      </w:r>
      <w:r w:rsidR="00305F85">
        <w:rPr>
          <w:rFonts w:ascii="Cambria" w:hAnsi="Cambria" w:cs="Arial"/>
          <w:sz w:val="20"/>
          <w:szCs w:val="20"/>
        </w:rPr>
        <w:t>:</w:t>
      </w:r>
    </w:p>
    <w:p w:rsidR="005D4602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1 - 31.10.2019 r.</w:t>
      </w:r>
    </w:p>
    <w:p w:rsidR="005D4602" w:rsidRPr="00C242A6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2 - 31.10.2019 r.</w:t>
      </w:r>
    </w:p>
    <w:p w:rsidR="005D4602" w:rsidRPr="00C242A6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3 - 31.10.2019 r.</w:t>
      </w:r>
    </w:p>
    <w:p w:rsidR="005D4602" w:rsidRPr="00C242A6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4 - 31.10.2019 r.</w:t>
      </w:r>
    </w:p>
    <w:p w:rsidR="005D4602" w:rsidRPr="00C242A6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5 - 31.10.2019 r.</w:t>
      </w:r>
    </w:p>
    <w:p w:rsidR="005D4602" w:rsidRPr="00C242A6" w:rsidRDefault="005D4602" w:rsidP="005D4602">
      <w:pPr>
        <w:spacing w:after="0"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Zadanie 6 - 31.10.2019 r.</w:t>
      </w:r>
      <w:r w:rsidR="001D4101">
        <w:rPr>
          <w:rFonts w:ascii="Cambria" w:hAnsi="Cambria" w:cs="Arial"/>
          <w:b/>
          <w:sz w:val="20"/>
          <w:szCs w:val="20"/>
        </w:rPr>
        <w:t>*</w:t>
      </w:r>
    </w:p>
    <w:p w:rsidR="00BF0B98" w:rsidRPr="00BF0B98" w:rsidRDefault="00BF0B98" w:rsidP="005D4602">
      <w:pPr>
        <w:spacing w:after="0"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lastRenderedPageBreak/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4)</w:t>
      </w:r>
      <w:r w:rsidRPr="00BF0B98">
        <w:rPr>
          <w:rFonts w:ascii="Cambria" w:hAnsi="Cambria" w:cs="Arial"/>
          <w:b w:val="0"/>
          <w:sz w:val="20"/>
        </w:rPr>
        <w:tab/>
        <w:t>Wykonawca,</w:t>
      </w:r>
      <w:r w:rsidR="00DF6CD6">
        <w:rPr>
          <w:rFonts w:ascii="Cambria" w:hAnsi="Cambria" w:cs="Arial"/>
          <w:b w:val="0"/>
          <w:sz w:val="20"/>
        </w:rPr>
        <w:t xml:space="preserve"> </w:t>
      </w:r>
      <w:r w:rsidRPr="00BF0B98">
        <w:rPr>
          <w:rFonts w:ascii="Cambria" w:hAnsi="Cambria" w:cs="Arial"/>
          <w:b w:val="0"/>
          <w:sz w:val="20"/>
        </w:rPr>
        <w:t>podwykonawca lub dalszy podwykonawca zamówienia przedkłada zamawiającemu poświadczoną za zgodność z oryginałem kopię zawartej umowy o podwykonawstwo na roboty budowlane, dostawy i usług w terminie 7 dni od dnia ich zawarcia</w:t>
      </w:r>
      <w:r w:rsidRPr="00BF0B98">
        <w:rPr>
          <w:rFonts w:ascii="Cambria" w:hAnsi="Cambria" w:cs="Arial"/>
          <w:b w:val="0"/>
          <w:bCs/>
          <w:sz w:val="20"/>
        </w:rPr>
        <w:t>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5)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 Nie ma obowiązku przedkładania umów o których mowa w ppkt. 4). jeżeli wartość zawartych umów z podwykonawcami i dalszymi podwykonawcami na dostawy i usługi nie przekracza 0,5% wartości inwestycji i 50 tys. zł. 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 xml:space="preserve">9.     Jeżeli zmiana albo rezygnacja z podwykonawcy dotyczy podmiotu, na którego zasoby wykonawca powoływał się, na zasadach określonych w art. </w:t>
      </w:r>
      <w:r>
        <w:rPr>
          <w:rFonts w:ascii="Cambria" w:hAnsi="Cambria" w:cs="Arial"/>
          <w:b w:val="0"/>
          <w:sz w:val="20"/>
        </w:rPr>
        <w:t>22a</w:t>
      </w:r>
      <w:r w:rsidRPr="00BF0B98">
        <w:rPr>
          <w:rFonts w:ascii="Cambria" w:hAnsi="Cambria" w:cs="Arial"/>
          <w:b w:val="0"/>
          <w:sz w:val="20"/>
        </w:rPr>
        <w:t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BF0B98" w:rsidRPr="00BF0B98" w:rsidRDefault="00BF0B98" w:rsidP="004912B9">
      <w:pPr>
        <w:pStyle w:val="Tytu"/>
        <w:numPr>
          <w:ilvl w:val="0"/>
          <w:numId w:val="33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5D4602">
        <w:rPr>
          <w:rFonts w:ascii="Cambria" w:hAnsi="Cambria" w:cs="Arial"/>
          <w:bCs/>
          <w:sz w:val="20"/>
          <w:szCs w:val="20"/>
          <w:lang w:eastAsia="pl-PL"/>
        </w:rPr>
        <w:t>Dz. U. z 2018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5D4602">
        <w:rPr>
          <w:rFonts w:ascii="Cambria" w:hAnsi="Cambria" w:cs="Arial"/>
          <w:bCs/>
          <w:sz w:val="20"/>
          <w:szCs w:val="20"/>
          <w:lang w:eastAsia="pl-PL"/>
        </w:rPr>
        <w:t>20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2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z późn. zm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7C3F84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AC02AC">
        <w:rPr>
          <w:rFonts w:cs="Arial"/>
          <w:bCs w:val="0"/>
          <w:i/>
          <w:sz w:val="20"/>
          <w:szCs w:val="20"/>
          <w:lang w:eastAsia="pl-PL"/>
        </w:rPr>
        <w:t>1</w:t>
      </w:r>
      <w:r w:rsidR="007C3F84">
        <w:rPr>
          <w:rFonts w:cs="Arial"/>
          <w:bCs w:val="0"/>
          <w:i/>
          <w:sz w:val="20"/>
          <w:szCs w:val="20"/>
          <w:lang w:eastAsia="pl-PL"/>
        </w:rPr>
        <w:t>20</w:t>
      </w:r>
      <w:r w:rsidR="00AC02AC">
        <w:rPr>
          <w:rFonts w:cs="Arial"/>
          <w:bCs w:val="0"/>
          <w:i/>
          <w:sz w:val="20"/>
          <w:szCs w:val="20"/>
          <w:lang w:eastAsia="pl-PL"/>
        </w:rPr>
        <w:t>2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z późn. zm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zobowiązany jest prowadzić na bieżąco i przechowywać dokumenty zgodnie z art. 3 pkt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</w:t>
      </w:r>
      <w:r w:rsidR="002F36D0">
        <w:rPr>
          <w:rFonts w:ascii="Cambria" w:hAnsi="Cambria" w:cs="Arial"/>
          <w:sz w:val="20"/>
          <w:szCs w:val="20"/>
        </w:rPr>
        <w:t xml:space="preserve"> (jeżeli jest wymagany)</w:t>
      </w:r>
      <w:r w:rsidRPr="00903203">
        <w:rPr>
          <w:rFonts w:ascii="Cambria" w:hAnsi="Cambria" w:cs="Arial"/>
          <w:sz w:val="20"/>
          <w:szCs w:val="20"/>
        </w:rPr>
        <w:t>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lastRenderedPageBreak/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823356">
      <w:pPr>
        <w:numPr>
          <w:ilvl w:val="0"/>
          <w:numId w:val="35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823356">
      <w:pPr>
        <w:pStyle w:val="Akapitzlist"/>
        <w:numPr>
          <w:ilvl w:val="0"/>
          <w:numId w:val="36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</w:t>
      </w:r>
      <w:r w:rsidR="002F36D0">
        <w:rPr>
          <w:rFonts w:ascii="Cambria" w:hAnsi="Cambria" w:cs="Arial"/>
          <w:sz w:val="20"/>
          <w:szCs w:val="20"/>
        </w:rPr>
        <w:t>(</w:t>
      </w:r>
      <w:r w:rsidRPr="00BF0B98">
        <w:rPr>
          <w:rFonts w:ascii="Cambria" w:hAnsi="Cambria" w:cs="Arial"/>
          <w:sz w:val="20"/>
          <w:szCs w:val="20"/>
        </w:rPr>
        <w:t>branżowe próby</w:t>
      </w:r>
      <w:r w:rsidR="002F36D0">
        <w:rPr>
          <w:rFonts w:ascii="Cambria" w:hAnsi="Cambria" w:cs="Arial"/>
          <w:sz w:val="20"/>
          <w:szCs w:val="20"/>
        </w:rPr>
        <w:t>)</w:t>
      </w:r>
      <w:r w:rsidRPr="00BF0B98">
        <w:rPr>
          <w:rFonts w:ascii="Cambria" w:hAnsi="Cambria" w:cs="Arial"/>
          <w:sz w:val="20"/>
          <w:szCs w:val="20"/>
        </w:rPr>
        <w:t xml:space="preserve"> i odbiory techniczne i technologiczne</w:t>
      </w:r>
      <w:r w:rsidR="002F36D0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oraz sporządzi dokumentacje powykonawczą z kosztorysami robót wykonanych.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r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późn.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EB0FC3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6643CE">
        <w:rPr>
          <w:rFonts w:ascii="Cambria" w:hAnsi="Cambria" w:cs="Arial"/>
          <w:bCs/>
          <w:sz w:val="20"/>
          <w:szCs w:val="20"/>
          <w:lang w:eastAsia="pl-PL"/>
        </w:rPr>
        <w:t>1</w:t>
      </w:r>
      <w:r w:rsidR="00EB0FC3">
        <w:rPr>
          <w:rFonts w:ascii="Cambria" w:hAnsi="Cambria" w:cs="Arial"/>
          <w:bCs/>
          <w:sz w:val="20"/>
          <w:szCs w:val="20"/>
          <w:lang w:eastAsia="pl-PL"/>
        </w:rPr>
        <w:t>202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721F4C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="00BF0B98"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="00BF0B98"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="00BF0B98"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3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4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5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721F4C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6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721F4C" w:rsidRDefault="00721F4C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4912B9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zamówienia.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2E0B5F" w:rsidRDefault="00B16B0D" w:rsidP="004B0185">
      <w:pPr>
        <w:pStyle w:val="Akapitzlist"/>
        <w:numPr>
          <w:ilvl w:val="0"/>
          <w:numId w:val="47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Zamawiający informuje iż zgodnie z umową o dofinansow</w:t>
      </w:r>
      <w:r w:rsidR="00721F4C">
        <w:rPr>
          <w:rFonts w:ascii="Cambria" w:hAnsi="Cambria" w:cs="Arial"/>
          <w:sz w:val="20"/>
          <w:szCs w:val="20"/>
        </w:rPr>
        <w:t xml:space="preserve">anie faktury wystawiane będą na </w:t>
      </w:r>
      <w:r w:rsidR="002F36D0">
        <w:rPr>
          <w:rFonts w:ascii="Cambria" w:hAnsi="Cambria" w:cs="Arial"/>
          <w:sz w:val="20"/>
          <w:szCs w:val="20"/>
        </w:rPr>
        <w:t>każde zadanie oddzielnie z uwzględnieniem odbiorcy każdego zadania zgodnie z opisem przedmiotu zamówienia.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zamówienia.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tj kwoty </w:t>
      </w:r>
    </w:p>
    <w:p w:rsidR="00BF0B98" w:rsidRDefault="00E142A5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1 - </w:t>
      </w:r>
      <w:r w:rsidR="00BF0B98"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="00BF0B98"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2 -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3 -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4 -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5 -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E142A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6 - </w:t>
      </w: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E142A5" w:rsidRDefault="00E142A5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4912B9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4912B9">
      <w:pPr>
        <w:numPr>
          <w:ilvl w:val="0"/>
          <w:numId w:val="31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>wykonania i odbioru robót - 1 egz,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m-cy licząc od dnia sporządzenia protokołu końcowego odbioru robót.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026164">
      <w:pPr>
        <w:numPr>
          <w:ilvl w:val="0"/>
          <w:numId w:val="44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026164">
      <w:pPr>
        <w:pStyle w:val="Akapitzlist"/>
        <w:numPr>
          <w:ilvl w:val="1"/>
          <w:numId w:val="45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026164">
      <w:pPr>
        <w:pStyle w:val="Akapitzlist"/>
        <w:numPr>
          <w:ilvl w:val="0"/>
          <w:numId w:val="4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4912B9">
      <w:pPr>
        <w:numPr>
          <w:ilvl w:val="0"/>
          <w:numId w:val="24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4912B9">
      <w:pPr>
        <w:pStyle w:val="Tekstpodstawowywcity2"/>
        <w:numPr>
          <w:ilvl w:val="0"/>
          <w:numId w:val="26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pStyle w:val="Tekstpodstawowywcity2"/>
        <w:numPr>
          <w:ilvl w:val="0"/>
          <w:numId w:val="24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4912B9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4912B9">
      <w:pPr>
        <w:pStyle w:val="Tekstpodstawowywcity2"/>
        <w:numPr>
          <w:ilvl w:val="0"/>
          <w:numId w:val="28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EB0FC3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EB0FC3">
        <w:rPr>
          <w:rFonts w:ascii="Cambria" w:hAnsi="Cambria" w:cs="Arial"/>
          <w:b/>
          <w:sz w:val="20"/>
          <w:szCs w:val="20"/>
        </w:rPr>
        <w:t>Zamawiającego</w:t>
      </w:r>
      <w:r w:rsidR="00F07F02" w:rsidRPr="00EB0FC3">
        <w:rPr>
          <w:rFonts w:ascii="Cambria" w:hAnsi="Cambria" w:cs="Arial"/>
          <w:b/>
          <w:sz w:val="20"/>
          <w:szCs w:val="20"/>
        </w:rPr>
        <w:t xml:space="preserve"> </w:t>
      </w:r>
      <w:r w:rsidRPr="00EB0FC3">
        <w:rPr>
          <w:rFonts w:ascii="Cambria" w:hAnsi="Cambria" w:cs="Arial"/>
          <w:sz w:val="20"/>
          <w:szCs w:val="20"/>
        </w:rPr>
        <w:t xml:space="preserve">i </w:t>
      </w:r>
      <w:r w:rsidR="00E909A3" w:rsidRPr="00EB0FC3">
        <w:rPr>
          <w:rFonts w:ascii="Cambria" w:hAnsi="Cambria" w:cs="Arial"/>
          <w:sz w:val="20"/>
          <w:szCs w:val="20"/>
        </w:rPr>
        <w:t xml:space="preserve">Odbiorcy </w:t>
      </w:r>
      <w:r w:rsidRPr="00EB0FC3">
        <w:rPr>
          <w:rFonts w:ascii="Cambria" w:hAnsi="Cambria" w:cs="Arial"/>
          <w:sz w:val="20"/>
          <w:szCs w:val="20"/>
        </w:rPr>
        <w:t xml:space="preserve">1 dla </w:t>
      </w:r>
      <w:r w:rsidRPr="00EB0FC3">
        <w:rPr>
          <w:rFonts w:ascii="Cambria" w:hAnsi="Cambria" w:cs="Arial"/>
          <w:b/>
          <w:sz w:val="20"/>
          <w:szCs w:val="20"/>
        </w:rPr>
        <w:t>Wykonawcy</w:t>
      </w:r>
      <w:r w:rsidRPr="00EB0FC3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EB0FC3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EB0FC3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Specyfikacja istotnych warunków zamówienia.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Oferta wykonawcy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EB0FC3" w:rsidRDefault="00BF0B98" w:rsidP="004912B9">
      <w:pPr>
        <w:pStyle w:val="Tekstpodstawowywcity2"/>
        <w:numPr>
          <w:ilvl w:val="1"/>
          <w:numId w:val="28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EB0FC3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EB0FC3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EB0FC3">
        <w:rPr>
          <w:rFonts w:ascii="Cambria" w:hAnsi="Cambria" w:cs="Arial"/>
          <w:b/>
          <w:bCs/>
          <w:sz w:val="20"/>
        </w:rPr>
        <w:t>ZAMAWIAJĄCY:</w:t>
      </w:r>
      <w:r w:rsidRPr="00EB0FC3">
        <w:rPr>
          <w:rFonts w:ascii="Cambria" w:hAnsi="Cambria" w:cs="Arial"/>
          <w:b/>
          <w:bCs/>
          <w:sz w:val="20"/>
        </w:rPr>
        <w:tab/>
      </w:r>
      <w:r w:rsidR="00435AB7" w:rsidRPr="00EB0FC3">
        <w:rPr>
          <w:rFonts w:ascii="Cambria" w:hAnsi="Cambria" w:cs="Arial"/>
          <w:b/>
          <w:bCs/>
          <w:sz w:val="20"/>
        </w:rPr>
        <w:tab/>
      </w:r>
      <w:r w:rsidR="00435AB7" w:rsidRPr="00EB0FC3">
        <w:rPr>
          <w:rFonts w:ascii="Cambria" w:hAnsi="Cambria" w:cs="Arial"/>
          <w:b/>
          <w:bCs/>
          <w:sz w:val="20"/>
        </w:rPr>
        <w:tab/>
        <w:t>ODBIORCA</w:t>
      </w:r>
      <w:r w:rsidRPr="00EB0FC3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097BBB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097BBB" w:rsidRPr="00097BBB" w:rsidRDefault="00E66555" w:rsidP="00E66555">
      <w:pPr>
        <w:pStyle w:val="Bezodstpw"/>
        <w:tabs>
          <w:tab w:val="center" w:pos="4819"/>
          <w:tab w:val="right" w:pos="9639"/>
        </w:tabs>
        <w:ind w:right="-1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 w:cs="Arial"/>
          <w:b/>
          <w:i/>
          <w:sz w:val="20"/>
          <w:szCs w:val="20"/>
        </w:rPr>
        <w:tab/>
      </w:r>
      <w:r w:rsidR="00097BBB" w:rsidRPr="00097BBB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>
        <w:rPr>
          <w:rFonts w:ascii="Cambria" w:hAnsi="Cambria" w:cs="Arial"/>
          <w:b/>
          <w:i/>
          <w:sz w:val="20"/>
          <w:szCs w:val="20"/>
        </w:rPr>
        <w:tab/>
      </w:r>
      <w:r>
        <w:rPr>
          <w:rFonts w:ascii="Cambria" w:hAnsi="Cambria" w:cs="Arial"/>
          <w:b/>
          <w:i/>
          <w:sz w:val="20"/>
          <w:szCs w:val="20"/>
        </w:rPr>
        <w:tab/>
      </w:r>
    </w:p>
    <w:p w:rsidR="00BB3231" w:rsidRPr="00BB3231" w:rsidRDefault="00BB3231" w:rsidP="00BB3231">
      <w:pPr>
        <w:pStyle w:val="Bezodstpw"/>
        <w:tabs>
          <w:tab w:val="left" w:pos="9638"/>
        </w:tabs>
        <w:spacing w:line="276" w:lineRule="auto"/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B5040C">
      <w:pPr>
        <w:numPr>
          <w:ilvl w:val="0"/>
          <w:numId w:val="3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Default="00B5040C" w:rsidP="00B5040C">
      <w:pPr>
        <w:spacing w:after="0" w:line="240" w:lineRule="auto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435AB7" w:rsidRDefault="00435AB7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</w:p>
    <w:p w:rsidR="00EB0FC3" w:rsidRDefault="00435AB7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EB0FC3" w:rsidRDefault="00EB0FC3" w:rsidP="00B5040C">
      <w:pPr>
        <w:spacing w:after="0" w:line="240" w:lineRule="auto"/>
        <w:rPr>
          <w:rFonts w:ascii="Cambria" w:eastAsia="Calibri" w:hAnsi="Cambria" w:cs="Arial"/>
          <w:color w:val="FF0000"/>
          <w:sz w:val="20"/>
          <w:szCs w:val="20"/>
        </w:rPr>
      </w:pPr>
    </w:p>
    <w:p w:rsidR="00435AB7" w:rsidRPr="00EB0FC3" w:rsidRDefault="00EB0FC3" w:rsidP="00EB0FC3">
      <w:pPr>
        <w:spacing w:after="0" w:line="240" w:lineRule="auto"/>
        <w:ind w:left="4956"/>
        <w:jc w:val="center"/>
        <w:rPr>
          <w:rFonts w:ascii="Cambria" w:eastAsia="Calibri" w:hAnsi="Cambria" w:cs="Arial"/>
          <w:b/>
          <w:sz w:val="20"/>
          <w:szCs w:val="20"/>
        </w:rPr>
      </w:pPr>
      <w:r w:rsidRPr="00EB0FC3">
        <w:rPr>
          <w:rFonts w:ascii="Cambria" w:eastAsia="Calibri" w:hAnsi="Cambria" w:cs="Arial"/>
          <w:b/>
          <w:sz w:val="20"/>
          <w:szCs w:val="20"/>
        </w:rPr>
        <w:t xml:space="preserve">     </w:t>
      </w:r>
      <w:r w:rsidR="00435AB7" w:rsidRPr="00EB0FC3">
        <w:rPr>
          <w:rFonts w:ascii="Cambria" w:eastAsia="Calibri" w:hAnsi="Cambria" w:cs="Arial"/>
          <w:b/>
          <w:sz w:val="20"/>
          <w:szCs w:val="20"/>
        </w:rPr>
        <w:t xml:space="preserve">Przedstawiciel </w:t>
      </w:r>
      <w:r w:rsidR="00E909A3" w:rsidRPr="00EB0FC3">
        <w:rPr>
          <w:rFonts w:ascii="Cambria" w:eastAsia="Calibri" w:hAnsi="Cambria" w:cs="Arial"/>
          <w:b/>
          <w:sz w:val="20"/>
          <w:szCs w:val="20"/>
        </w:rPr>
        <w:t xml:space="preserve"> Odbiorcy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F13" w:rsidRDefault="00667F13">
      <w:pPr>
        <w:spacing w:after="0" w:line="240" w:lineRule="auto"/>
      </w:pPr>
      <w:r>
        <w:separator/>
      </w:r>
    </w:p>
  </w:endnote>
  <w:endnote w:type="continuationSeparator" w:id="0">
    <w:p w:rsidR="00667F13" w:rsidRDefault="0066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TE1FA5458t00">
    <w:altName w:val="Times New Roman"/>
    <w:charset w:val="EE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9B736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9B7368" w:rsidRPr="00B65163">
      <w:rPr>
        <w:b/>
        <w:sz w:val="16"/>
        <w:szCs w:val="24"/>
      </w:rPr>
      <w:fldChar w:fldCharType="separate"/>
    </w:r>
    <w:r w:rsidR="00E66555">
      <w:rPr>
        <w:b/>
        <w:noProof/>
        <w:sz w:val="16"/>
      </w:rPr>
      <w:t>13</w:t>
    </w:r>
    <w:r w:rsidR="009B7368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9B7368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9B7368" w:rsidRPr="00B65163">
      <w:rPr>
        <w:b/>
        <w:sz w:val="16"/>
        <w:szCs w:val="24"/>
      </w:rPr>
      <w:fldChar w:fldCharType="separate"/>
    </w:r>
    <w:r w:rsidR="00E66555">
      <w:rPr>
        <w:b/>
        <w:noProof/>
        <w:sz w:val="16"/>
      </w:rPr>
      <w:t>14</w:t>
    </w:r>
    <w:r w:rsidR="009B7368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101" w:rsidRDefault="001D4101" w:rsidP="001D4101">
    <w:pPr>
      <w:pStyle w:val="Stopka"/>
    </w:pPr>
    <w:r w:rsidRPr="001D4101">
      <w:t>*</w:t>
    </w:r>
    <w:r>
      <w:t xml:space="preserve"> </w:t>
    </w:r>
    <w:r>
      <w:rPr>
        <w:rFonts w:ascii="Cambria" w:hAnsi="Cambria"/>
        <w:sz w:val="20"/>
        <w:szCs w:val="20"/>
      </w:rPr>
      <w:t xml:space="preserve">zamawiający zostawi zapisy dotyczące danej części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F13" w:rsidRDefault="00667F13">
      <w:pPr>
        <w:spacing w:after="0" w:line="240" w:lineRule="auto"/>
      </w:pPr>
      <w:r>
        <w:separator/>
      </w:r>
    </w:p>
  </w:footnote>
  <w:footnote w:type="continuationSeparator" w:id="0">
    <w:p w:rsidR="00667F13" w:rsidRDefault="0066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C2" w:rsidRDefault="001311C2" w:rsidP="001311C2">
    <w:pPr>
      <w:pStyle w:val="Nagwek"/>
    </w:pPr>
  </w:p>
  <w:p w:rsidR="001311C2" w:rsidRDefault="001311C2" w:rsidP="001311C2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11C2" w:rsidRDefault="001311C2" w:rsidP="001311C2">
    <w:pPr>
      <w:pStyle w:val="Standard"/>
      <w:rPr>
        <w:rFonts w:ascii="Cambria" w:hAnsi="Cambria"/>
        <w:b/>
        <w:sz w:val="20"/>
        <w:szCs w:val="20"/>
      </w:rPr>
    </w:pPr>
  </w:p>
  <w:p w:rsidR="001311C2" w:rsidRDefault="00DD248B" w:rsidP="001311C2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2F36D0">
      <w:rPr>
        <w:rFonts w:asciiTheme="majorHAnsi" w:hAnsiTheme="majorHAnsi"/>
        <w:b/>
        <w:sz w:val="20"/>
        <w:szCs w:val="20"/>
      </w:rPr>
      <w:t>RT.042.1.2.2019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F53E7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5D7EF1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893178"/>
    <w:multiLevelType w:val="hybridMultilevel"/>
    <w:tmpl w:val="6AB4F7A8"/>
    <w:lvl w:ilvl="0" w:tplc="D0CA58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5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7" w15:restartNumberingAfterBreak="0">
    <w:nsid w:val="3DBF0266"/>
    <w:multiLevelType w:val="hybridMultilevel"/>
    <w:tmpl w:val="44F61B88"/>
    <w:lvl w:ilvl="0" w:tplc="7074A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9" w15:restartNumberingAfterBreak="0">
    <w:nsid w:val="44F40428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3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8B51C0"/>
    <w:multiLevelType w:val="hybridMultilevel"/>
    <w:tmpl w:val="D34A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56"/>
  </w:num>
  <w:num w:numId="3">
    <w:abstractNumId w:val="0"/>
  </w:num>
  <w:num w:numId="4">
    <w:abstractNumId w:val="7"/>
  </w:num>
  <w:num w:numId="5">
    <w:abstractNumId w:val="9"/>
  </w:num>
  <w:num w:numId="6">
    <w:abstractNumId w:val="55"/>
  </w:num>
  <w:num w:numId="7">
    <w:abstractNumId w:val="67"/>
  </w:num>
  <w:num w:numId="8">
    <w:abstractNumId w:val="54"/>
  </w:num>
  <w:num w:numId="9">
    <w:abstractNumId w:val="48"/>
  </w:num>
  <w:num w:numId="10">
    <w:abstractNumId w:val="40"/>
  </w:num>
  <w:num w:numId="11">
    <w:abstractNumId w:val="68"/>
  </w:num>
  <w:num w:numId="12">
    <w:abstractNumId w:val="46"/>
  </w:num>
  <w:num w:numId="13">
    <w:abstractNumId w:val="78"/>
  </w:num>
  <w:num w:numId="14">
    <w:abstractNumId w:val="38"/>
  </w:num>
  <w:num w:numId="15">
    <w:abstractNumId w:val="72"/>
  </w:num>
  <w:num w:numId="16">
    <w:abstractNumId w:val="50"/>
  </w:num>
  <w:num w:numId="17">
    <w:abstractNumId w:val="69"/>
  </w:num>
  <w:num w:numId="18">
    <w:abstractNumId w:val="66"/>
  </w:num>
  <w:num w:numId="19">
    <w:abstractNumId w:val="76"/>
  </w:num>
  <w:num w:numId="20">
    <w:abstractNumId w:val="49"/>
  </w:num>
  <w:num w:numId="21">
    <w:abstractNumId w:val="42"/>
  </w:num>
  <w:num w:numId="22">
    <w:abstractNumId w:val="45"/>
  </w:num>
  <w:num w:numId="23">
    <w:abstractNumId w:val="53"/>
  </w:num>
  <w:num w:numId="24">
    <w:abstractNumId w:val="47"/>
  </w:num>
  <w:num w:numId="25">
    <w:abstractNumId w:val="37"/>
  </w:num>
  <w:num w:numId="26">
    <w:abstractNumId w:val="60"/>
  </w:num>
  <w:num w:numId="27">
    <w:abstractNumId w:val="65"/>
  </w:num>
  <w:num w:numId="28">
    <w:abstractNumId w:val="51"/>
  </w:num>
  <w:num w:numId="29">
    <w:abstractNumId w:val="70"/>
  </w:num>
  <w:num w:numId="30">
    <w:abstractNumId w:val="41"/>
  </w:num>
  <w:num w:numId="31">
    <w:abstractNumId w:val="74"/>
  </w:num>
  <w:num w:numId="32">
    <w:abstractNumId w:val="64"/>
  </w:num>
  <w:num w:numId="33">
    <w:abstractNumId w:val="75"/>
  </w:num>
  <w:num w:numId="34">
    <w:abstractNumId w:val="23"/>
  </w:num>
  <w:num w:numId="35">
    <w:abstractNumId w:val="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57"/>
  </w:num>
  <w:num w:numId="39">
    <w:abstractNumId w:val="62"/>
  </w:num>
  <w:num w:numId="40">
    <w:abstractNumId w:val="73"/>
  </w:num>
  <w:num w:numId="41">
    <w:abstractNumId w:val="59"/>
  </w:num>
  <w:num w:numId="42">
    <w:abstractNumId w:val="44"/>
  </w:num>
  <w:num w:numId="43">
    <w:abstractNumId w:val="43"/>
  </w:num>
  <w:num w:numId="44">
    <w:abstractNumId w:val="61"/>
  </w:num>
  <w:num w:numId="45">
    <w:abstractNumId w:val="77"/>
  </w:num>
  <w:num w:numId="46">
    <w:abstractNumId w:val="63"/>
  </w:num>
  <w:num w:numId="47">
    <w:abstractNumId w:val="71"/>
  </w:num>
  <w:num w:numId="48">
    <w:abstractNumId w:val="5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97BBB"/>
    <w:rsid w:val="000A01FD"/>
    <w:rsid w:val="001311C2"/>
    <w:rsid w:val="00137823"/>
    <w:rsid w:val="001566AD"/>
    <w:rsid w:val="00166C2B"/>
    <w:rsid w:val="00192B5C"/>
    <w:rsid w:val="001953C0"/>
    <w:rsid w:val="001C0AC6"/>
    <w:rsid w:val="001D4101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21FB"/>
    <w:rsid w:val="00244C27"/>
    <w:rsid w:val="00280C23"/>
    <w:rsid w:val="002A19B9"/>
    <w:rsid w:val="002A1AFE"/>
    <w:rsid w:val="002B76B6"/>
    <w:rsid w:val="002D5E4F"/>
    <w:rsid w:val="002E0B5F"/>
    <w:rsid w:val="002F36D0"/>
    <w:rsid w:val="002F410E"/>
    <w:rsid w:val="003017A8"/>
    <w:rsid w:val="00305F85"/>
    <w:rsid w:val="00313408"/>
    <w:rsid w:val="003310AF"/>
    <w:rsid w:val="0034143F"/>
    <w:rsid w:val="00344C32"/>
    <w:rsid w:val="00362849"/>
    <w:rsid w:val="00367348"/>
    <w:rsid w:val="003712A1"/>
    <w:rsid w:val="0037534C"/>
    <w:rsid w:val="00377DCD"/>
    <w:rsid w:val="00395E1E"/>
    <w:rsid w:val="003A0666"/>
    <w:rsid w:val="003A2D5D"/>
    <w:rsid w:val="003B21D2"/>
    <w:rsid w:val="003B3991"/>
    <w:rsid w:val="00400569"/>
    <w:rsid w:val="00406636"/>
    <w:rsid w:val="00435AB7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5344B"/>
    <w:rsid w:val="005741A4"/>
    <w:rsid w:val="00593BAB"/>
    <w:rsid w:val="005948EB"/>
    <w:rsid w:val="005A60A7"/>
    <w:rsid w:val="005B0A71"/>
    <w:rsid w:val="005B6E96"/>
    <w:rsid w:val="005D3310"/>
    <w:rsid w:val="005D4602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67F13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21F4C"/>
    <w:rsid w:val="0073244F"/>
    <w:rsid w:val="007325A4"/>
    <w:rsid w:val="00740A74"/>
    <w:rsid w:val="00756A3C"/>
    <w:rsid w:val="00766C7F"/>
    <w:rsid w:val="00775C8A"/>
    <w:rsid w:val="00781151"/>
    <w:rsid w:val="007A0AFC"/>
    <w:rsid w:val="007A25DC"/>
    <w:rsid w:val="007B3AF7"/>
    <w:rsid w:val="007C3912"/>
    <w:rsid w:val="007C3F84"/>
    <w:rsid w:val="007C5F01"/>
    <w:rsid w:val="007F26E2"/>
    <w:rsid w:val="00823356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B7368"/>
    <w:rsid w:val="009C0218"/>
    <w:rsid w:val="009D0441"/>
    <w:rsid w:val="009D73DC"/>
    <w:rsid w:val="009D7790"/>
    <w:rsid w:val="009F196A"/>
    <w:rsid w:val="009F7CD7"/>
    <w:rsid w:val="00A06213"/>
    <w:rsid w:val="00A238DA"/>
    <w:rsid w:val="00A577F7"/>
    <w:rsid w:val="00A72CEE"/>
    <w:rsid w:val="00A95A43"/>
    <w:rsid w:val="00AA3832"/>
    <w:rsid w:val="00AC02AC"/>
    <w:rsid w:val="00AC03B3"/>
    <w:rsid w:val="00AD1294"/>
    <w:rsid w:val="00AD59C7"/>
    <w:rsid w:val="00AF2A9B"/>
    <w:rsid w:val="00AF2C1D"/>
    <w:rsid w:val="00B16B0D"/>
    <w:rsid w:val="00B16D14"/>
    <w:rsid w:val="00B30FF2"/>
    <w:rsid w:val="00B44D8D"/>
    <w:rsid w:val="00B5040C"/>
    <w:rsid w:val="00B67C9A"/>
    <w:rsid w:val="00B963ED"/>
    <w:rsid w:val="00BA0CD0"/>
    <w:rsid w:val="00BA5666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6C1"/>
    <w:rsid w:val="00CA0EBC"/>
    <w:rsid w:val="00CB1A47"/>
    <w:rsid w:val="00CC18BA"/>
    <w:rsid w:val="00CC1BEB"/>
    <w:rsid w:val="00CD3559"/>
    <w:rsid w:val="00CE4488"/>
    <w:rsid w:val="00CF05DD"/>
    <w:rsid w:val="00CF2106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B340C"/>
    <w:rsid w:val="00DD0072"/>
    <w:rsid w:val="00DD248B"/>
    <w:rsid w:val="00DF012C"/>
    <w:rsid w:val="00DF0E62"/>
    <w:rsid w:val="00DF6CD6"/>
    <w:rsid w:val="00E142A5"/>
    <w:rsid w:val="00E17AAD"/>
    <w:rsid w:val="00E3137E"/>
    <w:rsid w:val="00E32D1C"/>
    <w:rsid w:val="00E572EC"/>
    <w:rsid w:val="00E66555"/>
    <w:rsid w:val="00E67CAC"/>
    <w:rsid w:val="00E750B8"/>
    <w:rsid w:val="00E808D7"/>
    <w:rsid w:val="00E85A04"/>
    <w:rsid w:val="00E909A3"/>
    <w:rsid w:val="00E956C2"/>
    <w:rsid w:val="00E956C4"/>
    <w:rsid w:val="00EB0FC3"/>
    <w:rsid w:val="00EB62BF"/>
    <w:rsid w:val="00ED2F84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9D292-4885-4FC1-8A91-E08F9DF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3F5FF-5F02-4A2E-938A-D4B9EBA1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5762</Words>
  <Characters>34578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USER</cp:lastModifiedBy>
  <cp:revision>2</cp:revision>
  <cp:lastPrinted>2018-05-22T10:26:00Z</cp:lastPrinted>
  <dcterms:created xsi:type="dcterms:W3CDTF">2019-02-11T11:28:00Z</dcterms:created>
  <dcterms:modified xsi:type="dcterms:W3CDTF">2019-02-11T11:28:00Z</dcterms:modified>
</cp:coreProperties>
</file>