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 – lider projektu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C27A09" w:rsidRPr="00C27A09" w:rsidRDefault="00C27A09" w:rsidP="00C27A09">
      <w:pPr>
        <w:pStyle w:val="Teksttreci0"/>
        <w:shd w:val="clear" w:color="auto" w:fill="auto"/>
        <w:jc w:val="center"/>
        <w:rPr>
          <w:rFonts w:ascii="Cambria" w:eastAsia="Calibri" w:hAnsi="Cambria" w:cs="Arial"/>
          <w:b/>
          <w:bCs/>
          <w:i/>
          <w:sz w:val="24"/>
          <w:szCs w:val="24"/>
        </w:rPr>
      </w:pPr>
      <w:r w:rsidRPr="00C27A09">
        <w:rPr>
          <w:rFonts w:ascii="Cambria" w:eastAsia="Calibri" w:hAnsi="Cambria" w:cs="Arial"/>
          <w:b/>
          <w:bCs/>
          <w:i/>
          <w:sz w:val="24"/>
          <w:szCs w:val="24"/>
        </w:rPr>
        <w:t>Budowa publicznego przedszkola gminnego w Miechowie-Charsznicy – etap II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lastRenderedPageBreak/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:rsidR="00923E37" w:rsidRPr="00BF0B98" w:rsidRDefault="00923E37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923E3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5E12F0" w:rsidRPr="00923E37" w:rsidRDefault="00BF0B98" w:rsidP="00923E3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firstLine="426"/>
        <w:jc w:val="both"/>
        <w:rPr>
          <w:rFonts w:ascii="Cambria" w:hAnsi="Cambria" w:cs="Arial"/>
          <w:b/>
          <w:sz w:val="20"/>
          <w:szCs w:val="20"/>
        </w:rPr>
      </w:pPr>
      <w:r w:rsidRPr="00923E37">
        <w:rPr>
          <w:rFonts w:ascii="Cambria" w:hAnsi="Cambria" w:cs="Arial"/>
          <w:sz w:val="20"/>
          <w:szCs w:val="20"/>
        </w:rPr>
        <w:t xml:space="preserve">Zakończenie robót nastąpi </w:t>
      </w:r>
      <w:r w:rsidR="006719D9" w:rsidRPr="00AB7DE2">
        <w:rPr>
          <w:rFonts w:ascii="Cambria" w:hAnsi="Cambria" w:cs="Arial"/>
          <w:sz w:val="20"/>
          <w:szCs w:val="20"/>
        </w:rPr>
        <w:t>do dnia</w:t>
      </w:r>
      <w:r w:rsidR="00923E37" w:rsidRPr="00AB7DE2">
        <w:rPr>
          <w:rFonts w:ascii="Cambria" w:hAnsi="Cambria" w:cs="Arial"/>
          <w:sz w:val="20"/>
          <w:szCs w:val="20"/>
        </w:rPr>
        <w:t xml:space="preserve"> </w:t>
      </w:r>
      <w:r w:rsidR="00D01D57" w:rsidRPr="00AB7DE2">
        <w:rPr>
          <w:rFonts w:ascii="Cambria" w:hAnsi="Cambria" w:cs="Arial"/>
          <w:b/>
          <w:sz w:val="20"/>
          <w:szCs w:val="20"/>
        </w:rPr>
        <w:t>15</w:t>
      </w:r>
      <w:r w:rsidR="00C42316" w:rsidRPr="00AB7DE2">
        <w:rPr>
          <w:rFonts w:ascii="Cambria" w:hAnsi="Cambria" w:cs="Arial"/>
          <w:b/>
          <w:sz w:val="20"/>
          <w:szCs w:val="20"/>
        </w:rPr>
        <w:t>.</w:t>
      </w:r>
      <w:r w:rsidR="00C27A09" w:rsidRPr="00AB7DE2">
        <w:rPr>
          <w:rFonts w:ascii="Cambria" w:hAnsi="Cambria" w:cs="Arial"/>
          <w:b/>
          <w:sz w:val="20"/>
          <w:szCs w:val="20"/>
        </w:rPr>
        <w:t>0</w:t>
      </w:r>
      <w:r w:rsidR="00EC5328" w:rsidRPr="00AB7DE2">
        <w:rPr>
          <w:rFonts w:ascii="Cambria" w:hAnsi="Cambria" w:cs="Arial"/>
          <w:b/>
          <w:sz w:val="20"/>
          <w:szCs w:val="20"/>
        </w:rPr>
        <w:t>7</w:t>
      </w:r>
      <w:r w:rsidR="00C27A09" w:rsidRPr="00AB7DE2">
        <w:rPr>
          <w:rFonts w:ascii="Cambria" w:hAnsi="Cambria" w:cs="Arial"/>
          <w:b/>
          <w:sz w:val="20"/>
          <w:szCs w:val="20"/>
        </w:rPr>
        <w:t>.2020</w:t>
      </w:r>
      <w:r w:rsidR="00C42316" w:rsidRPr="00AB7DE2">
        <w:rPr>
          <w:rFonts w:ascii="Cambria" w:hAnsi="Cambria" w:cs="Arial"/>
          <w:b/>
          <w:sz w:val="20"/>
          <w:szCs w:val="20"/>
        </w:rPr>
        <w:t xml:space="preserve"> r.</w:t>
      </w:r>
    </w:p>
    <w:p w:rsidR="00BF0B98" w:rsidRPr="00BF0B98" w:rsidRDefault="00BF0B98" w:rsidP="00C42316">
      <w:pPr>
        <w:spacing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lastRenderedPageBreak/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923E37" w:rsidRDefault="00BF0B98" w:rsidP="00923E37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</w:t>
      </w:r>
      <w:r w:rsidRPr="00923E37">
        <w:rPr>
          <w:rFonts w:ascii="Cambria" w:hAnsi="Cambria" w:cs="Arial"/>
          <w:b w:val="0"/>
          <w:sz w:val="20"/>
        </w:rPr>
        <w:t>)</w:t>
      </w:r>
      <w:r w:rsidRPr="00923E37">
        <w:rPr>
          <w:rFonts w:ascii="Cambria" w:hAnsi="Cambria" w:cs="Arial"/>
          <w:b w:val="0"/>
          <w:sz w:val="20"/>
        </w:rPr>
        <w:tab/>
      </w:r>
      <w:r w:rsidR="00923E37" w:rsidRPr="00923E37">
        <w:rPr>
          <w:rFonts w:ascii="Cambria" w:hAnsi="Cambria" w:cs="Arial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923E37" w:rsidRPr="00923E37">
        <w:rPr>
          <w:rFonts w:ascii="Cambria" w:hAnsi="Cambria" w:cs="Arial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złotych.</w:t>
      </w:r>
    </w:p>
    <w:p w:rsidR="00BF0B98" w:rsidRPr="00923E37" w:rsidRDefault="00923E37" w:rsidP="00923E37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 w:val="0"/>
          <w:sz w:val="20"/>
        </w:rPr>
        <w:t xml:space="preserve">8. </w:t>
      </w:r>
      <w:r>
        <w:rPr>
          <w:rFonts w:ascii="Cambria" w:hAnsi="Cambria" w:cs="Arial"/>
          <w:b w:val="0"/>
          <w:sz w:val="20"/>
        </w:rPr>
        <w:tab/>
      </w:r>
      <w:r w:rsidR="00BF0B98" w:rsidRPr="00BF0B98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</w:t>
      </w:r>
      <w:r w:rsidR="00BF0B98">
        <w:rPr>
          <w:rFonts w:ascii="Cambria" w:hAnsi="Cambria" w:cs="Arial"/>
          <w:b w:val="0"/>
          <w:sz w:val="20"/>
        </w:rPr>
        <w:t>22a</w:t>
      </w:r>
      <w:r w:rsidR="00BF0B98"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923E37">
      <w:pPr>
        <w:pStyle w:val="Tytu"/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a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5A52B6">
        <w:rPr>
          <w:rFonts w:ascii="Cambria" w:hAnsi="Cambria" w:cs="Arial"/>
          <w:bCs/>
          <w:sz w:val="20"/>
          <w:szCs w:val="20"/>
          <w:lang w:eastAsia="pl-PL"/>
        </w:rPr>
        <w:t>202 ze zmianami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923E37">
        <w:rPr>
          <w:rFonts w:cs="Arial"/>
          <w:bCs w:val="0"/>
          <w:i/>
          <w:sz w:val="20"/>
          <w:szCs w:val="20"/>
          <w:lang w:eastAsia="pl-PL"/>
        </w:rPr>
        <w:t>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923E37">
        <w:rPr>
          <w:rFonts w:cs="Arial"/>
          <w:bCs w:val="0"/>
          <w:i/>
          <w:sz w:val="20"/>
          <w:szCs w:val="20"/>
          <w:lang w:eastAsia="pl-PL"/>
        </w:rPr>
        <w:t>1</w:t>
      </w:r>
      <w:r w:rsidR="005A52B6">
        <w:rPr>
          <w:rFonts w:cs="Arial"/>
          <w:bCs w:val="0"/>
          <w:i/>
          <w:sz w:val="20"/>
          <w:szCs w:val="20"/>
          <w:lang w:eastAsia="pl-PL"/>
        </w:rPr>
        <w:t>202 ze zmianami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lastRenderedPageBreak/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923E37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</w:t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BF0B98">
        <w:rPr>
          <w:rFonts w:ascii="Cambria" w:hAnsi="Cambria" w:cs="Arial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5A52B6">
        <w:rPr>
          <w:rFonts w:ascii="Cambria" w:hAnsi="Cambria" w:cs="Arial"/>
          <w:bCs/>
          <w:sz w:val="20"/>
          <w:szCs w:val="20"/>
          <w:lang w:eastAsia="pl-PL"/>
        </w:rPr>
        <w:t>202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 uzasadnionych przypadkach dopuszcza się wprowadzanie zmian w stosunku do dokumentacji: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EC5328" w:rsidRPr="00EC5328">
        <w:rPr>
          <w:rFonts w:ascii="Cambria" w:hAnsi="Cambria" w:cs="Arial"/>
          <w:sz w:val="20"/>
          <w:szCs w:val="20"/>
          <w:highlight w:val="yellow"/>
        </w:rPr>
        <w:t>5</w:t>
      </w:r>
      <w:r w:rsidRPr="00EC5328">
        <w:rPr>
          <w:rFonts w:ascii="Cambria" w:hAnsi="Cambria" w:cs="Arial"/>
          <w:sz w:val="20"/>
          <w:szCs w:val="20"/>
          <w:highlight w:val="yellow"/>
        </w:rPr>
        <w:t>0%</w:t>
      </w:r>
      <w:r w:rsidRPr="004B0185">
        <w:rPr>
          <w:rFonts w:ascii="Cambria" w:hAnsi="Cambria" w:cs="Arial"/>
          <w:sz w:val="20"/>
          <w:szCs w:val="20"/>
        </w:rPr>
        <w:t xml:space="preserve">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923E37">
      <w:pPr>
        <w:pStyle w:val="Akapitzlist"/>
        <w:numPr>
          <w:ilvl w:val="0"/>
          <w:numId w:val="38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</w:t>
      </w:r>
      <w:proofErr w:type="spellStart"/>
      <w:r w:rsidRPr="00BF0B98">
        <w:rPr>
          <w:rFonts w:ascii="Cambria" w:hAnsi="Cambria" w:cs="Arial"/>
          <w:sz w:val="20"/>
          <w:szCs w:val="20"/>
        </w:rPr>
        <w:t>tj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</w:t>
      </w:r>
      <w:r w:rsidR="00EC5328">
        <w:rPr>
          <w:rFonts w:ascii="Cambria" w:eastAsia="Times-Roman" w:hAnsi="Cambria" w:cs="Arial"/>
          <w:sz w:val="20"/>
          <w:szCs w:val="20"/>
        </w:rPr>
        <w:t>.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BF0B9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BF0B98">
        <w:rPr>
          <w:rFonts w:ascii="Cambria" w:eastAsia="Times-Roman" w:hAnsi="Cambria" w:cs="Arial"/>
          <w:sz w:val="20"/>
          <w:szCs w:val="20"/>
        </w:rPr>
        <w:t>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 xml:space="preserve">pomiary geodezyjne </w:t>
      </w:r>
      <w:r w:rsidRPr="00AB7DE2">
        <w:rPr>
          <w:rFonts w:ascii="Cambria" w:eastAsia="Times-Roman" w:hAnsi="Cambria" w:cs="Arial"/>
          <w:sz w:val="20"/>
          <w:szCs w:val="20"/>
        </w:rPr>
        <w:t>zakończonej inwestycji.</w:t>
      </w:r>
      <w:r w:rsidR="00EC5328" w:rsidRPr="00AB7DE2">
        <w:rPr>
          <w:rFonts w:ascii="Cambria" w:eastAsia="Times-Roman" w:hAnsi="Cambria" w:cs="Arial"/>
          <w:sz w:val="20"/>
          <w:szCs w:val="20"/>
        </w:rPr>
        <w:t xml:space="preserve"> (jeżeli dotyczy)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923E37">
      <w:pPr>
        <w:numPr>
          <w:ilvl w:val="0"/>
          <w:numId w:val="23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</w:t>
      </w:r>
      <w:r w:rsidRPr="00AB7DE2">
        <w:rPr>
          <w:rFonts w:ascii="Cambria" w:hAnsi="Cambria" w:cs="Arial"/>
          <w:sz w:val="20"/>
          <w:szCs w:val="20"/>
        </w:rPr>
        <w:t xml:space="preserve">wysokości </w:t>
      </w:r>
      <w:r w:rsidR="00EC5328" w:rsidRPr="00AB7DE2">
        <w:rPr>
          <w:rFonts w:ascii="Cambria" w:hAnsi="Cambria" w:cs="Arial"/>
          <w:sz w:val="20"/>
          <w:szCs w:val="20"/>
        </w:rPr>
        <w:t>2</w:t>
      </w:r>
      <w:r w:rsidR="008B254E" w:rsidRPr="00AB7DE2">
        <w:rPr>
          <w:rFonts w:ascii="Cambria" w:hAnsi="Cambria" w:cs="Arial"/>
          <w:sz w:val="20"/>
          <w:szCs w:val="20"/>
        </w:rPr>
        <w:t>%</w:t>
      </w:r>
      <w:r w:rsidR="008B254E" w:rsidRPr="00362849">
        <w:rPr>
          <w:rFonts w:ascii="Cambria" w:hAnsi="Cambria" w:cs="Arial"/>
          <w:sz w:val="20"/>
          <w:szCs w:val="20"/>
        </w:rPr>
        <w:t xml:space="preserve">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23E37">
        <w:t xml:space="preserve"> </w:t>
      </w: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bookmarkEnd w:id="2"/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</w:t>
      </w:r>
      <w:r w:rsidR="005A52B6">
        <w:rPr>
          <w:rFonts w:ascii="Cambria" w:hAnsi="Cambria" w:cs="Arial"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4</w:t>
      </w:r>
      <w:r w:rsidR="005A52B6">
        <w:rPr>
          <w:rFonts w:ascii="Cambria" w:hAnsi="Cambria" w:cs="Arial"/>
          <w:sz w:val="20"/>
          <w:szCs w:val="20"/>
        </w:rPr>
        <w:t xml:space="preserve"> i 5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5A52B6">
        <w:rPr>
          <w:rFonts w:ascii="Cambria" w:hAnsi="Cambria" w:cs="Arial"/>
          <w:spacing w:val="-4"/>
          <w:sz w:val="20"/>
          <w:szCs w:val="20"/>
        </w:rPr>
        <w:t>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5A52B6">
        <w:rPr>
          <w:rFonts w:ascii="Cambria" w:hAnsi="Cambria" w:cs="Arial"/>
          <w:spacing w:val="-4"/>
          <w:sz w:val="20"/>
          <w:szCs w:val="20"/>
        </w:rPr>
        <w:t>1843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BF0B9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pacing w:val="-4"/>
          <w:sz w:val="20"/>
          <w:szCs w:val="20"/>
        </w:rPr>
        <w:t>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A52B6" w:rsidRDefault="005A52B6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923E37" w:rsidRDefault="00923E37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C27A09" w:rsidRPr="00C27A09" w:rsidRDefault="00C27A09" w:rsidP="00C27A09">
      <w:pPr>
        <w:pStyle w:val="Bezodstpw"/>
        <w:tabs>
          <w:tab w:val="left" w:pos="9638"/>
        </w:tabs>
        <w:ind w:right="-1"/>
        <w:jc w:val="center"/>
        <w:rPr>
          <w:rFonts w:ascii="Cambria" w:hAnsi="Cambria" w:cs="Arial"/>
          <w:b/>
          <w:bCs/>
          <w:i/>
          <w:sz w:val="20"/>
          <w:szCs w:val="20"/>
        </w:rPr>
      </w:pPr>
      <w:r w:rsidRPr="00C27A09">
        <w:rPr>
          <w:rFonts w:ascii="Cambria" w:hAnsi="Cambria" w:cs="Arial"/>
          <w:b/>
          <w:bCs/>
          <w:i/>
          <w:sz w:val="20"/>
          <w:szCs w:val="20"/>
        </w:rPr>
        <w:t>Budowa publicznego przedszkola gminnego w Miechowie-Charsznicy – etap II</w:t>
      </w:r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lastRenderedPageBreak/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lastRenderedPageBreak/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B8" w:rsidRDefault="00FC43B8">
      <w:pPr>
        <w:spacing w:after="0" w:line="240" w:lineRule="auto"/>
      </w:pPr>
      <w:r>
        <w:separator/>
      </w:r>
    </w:p>
  </w:endnote>
  <w:endnote w:type="continuationSeparator" w:id="0">
    <w:p w:rsidR="00FC43B8" w:rsidRDefault="00FC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00F" w:rsidRDefault="00A530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302A85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302A85" w:rsidRPr="00B65163">
      <w:rPr>
        <w:b/>
        <w:sz w:val="16"/>
        <w:szCs w:val="24"/>
      </w:rPr>
      <w:fldChar w:fldCharType="separate"/>
    </w:r>
    <w:r w:rsidR="00C27A09">
      <w:rPr>
        <w:b/>
        <w:noProof/>
        <w:sz w:val="16"/>
      </w:rPr>
      <w:t>14</w:t>
    </w:r>
    <w:r w:rsidR="00302A85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302A85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302A85" w:rsidRPr="00B65163">
      <w:rPr>
        <w:b/>
        <w:sz w:val="16"/>
        <w:szCs w:val="24"/>
      </w:rPr>
      <w:fldChar w:fldCharType="separate"/>
    </w:r>
    <w:r w:rsidR="00C27A09">
      <w:rPr>
        <w:b/>
        <w:noProof/>
        <w:sz w:val="16"/>
      </w:rPr>
      <w:t>14</w:t>
    </w:r>
    <w:r w:rsidR="00302A85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00F" w:rsidRDefault="00A53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B8" w:rsidRDefault="00FC43B8">
      <w:pPr>
        <w:spacing w:after="0" w:line="240" w:lineRule="auto"/>
      </w:pPr>
      <w:r>
        <w:separator/>
      </w:r>
    </w:p>
  </w:footnote>
  <w:footnote w:type="continuationSeparator" w:id="0">
    <w:p w:rsidR="00FC43B8" w:rsidRDefault="00FC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00F" w:rsidRDefault="00A530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</w:p>
  <w:p w:rsidR="00AB7DE2" w:rsidRPr="004D1C10" w:rsidRDefault="00AB7DE2" w:rsidP="00AB7DE2">
    <w:pPr>
      <w:pStyle w:val="Standard"/>
      <w:rPr>
        <w:rFonts w:ascii="Cambria" w:hAnsi="Cambria"/>
        <w:b/>
        <w:sz w:val="20"/>
        <w:szCs w:val="20"/>
      </w:rPr>
    </w:pPr>
    <w:r w:rsidRPr="004D1C10">
      <w:rPr>
        <w:rFonts w:ascii="Cambria" w:hAnsi="Cambria"/>
        <w:b/>
        <w:sz w:val="20"/>
        <w:szCs w:val="20"/>
      </w:rPr>
      <w:t xml:space="preserve">Znak sprawy: </w:t>
    </w:r>
    <w:bookmarkStart w:id="3" w:name="_Hlk26356124"/>
    <w:r w:rsidRPr="004D1C10">
      <w:rPr>
        <w:rFonts w:ascii="Cambria" w:hAnsi="Cambria"/>
        <w:b/>
        <w:sz w:val="20"/>
        <w:szCs w:val="20"/>
      </w:rPr>
      <w:t>RI.7013.3.1.2019 </w:t>
    </w:r>
  </w:p>
  <w:bookmarkEnd w:id="3"/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2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5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7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B64DBD"/>
    <w:multiLevelType w:val="hybridMultilevel"/>
    <w:tmpl w:val="F0C694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4"/>
  </w:num>
  <w:num w:numId="3">
    <w:abstractNumId w:val="0"/>
  </w:num>
  <w:num w:numId="4">
    <w:abstractNumId w:val="7"/>
  </w:num>
  <w:num w:numId="5">
    <w:abstractNumId w:val="9"/>
  </w:num>
  <w:num w:numId="6">
    <w:abstractNumId w:val="52"/>
  </w:num>
  <w:num w:numId="7">
    <w:abstractNumId w:val="63"/>
  </w:num>
  <w:num w:numId="8">
    <w:abstractNumId w:val="51"/>
  </w:num>
  <w:num w:numId="9">
    <w:abstractNumId w:val="47"/>
  </w:num>
  <w:num w:numId="10">
    <w:abstractNumId w:val="40"/>
  </w:num>
  <w:num w:numId="11">
    <w:abstractNumId w:val="64"/>
  </w:num>
  <w:num w:numId="12">
    <w:abstractNumId w:val="45"/>
  </w:num>
  <w:num w:numId="13">
    <w:abstractNumId w:val="73"/>
  </w:num>
  <w:num w:numId="14">
    <w:abstractNumId w:val="38"/>
  </w:num>
  <w:num w:numId="15">
    <w:abstractNumId w:val="68"/>
  </w:num>
  <w:num w:numId="16">
    <w:abstractNumId w:val="49"/>
  </w:num>
  <w:num w:numId="17">
    <w:abstractNumId w:val="65"/>
  </w:num>
  <w:num w:numId="18">
    <w:abstractNumId w:val="62"/>
  </w:num>
  <w:num w:numId="19">
    <w:abstractNumId w:val="71"/>
  </w:num>
  <w:num w:numId="20">
    <w:abstractNumId w:val="48"/>
  </w:num>
  <w:num w:numId="21">
    <w:abstractNumId w:val="43"/>
  </w:num>
  <w:num w:numId="22">
    <w:abstractNumId w:val="44"/>
  </w:num>
  <w:num w:numId="23">
    <w:abstractNumId w:val="46"/>
  </w:num>
  <w:num w:numId="24">
    <w:abstractNumId w:val="37"/>
  </w:num>
  <w:num w:numId="25">
    <w:abstractNumId w:val="57"/>
  </w:num>
  <w:num w:numId="26">
    <w:abstractNumId w:val="61"/>
  </w:num>
  <w:num w:numId="27">
    <w:abstractNumId w:val="50"/>
  </w:num>
  <w:num w:numId="28">
    <w:abstractNumId w:val="66"/>
  </w:num>
  <w:num w:numId="29">
    <w:abstractNumId w:val="41"/>
  </w:num>
  <w:num w:numId="30">
    <w:abstractNumId w:val="70"/>
  </w:num>
  <w:num w:numId="31">
    <w:abstractNumId w:val="60"/>
  </w:num>
  <w:num w:numId="32">
    <w:abstractNumId w:val="23"/>
  </w:num>
  <w:num w:numId="33">
    <w:abstractNumId w:val="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</w:num>
  <w:num w:numId="36">
    <w:abstractNumId w:val="72"/>
  </w:num>
  <w:num w:numId="37">
    <w:abstractNumId w:val="59"/>
  </w:num>
  <w:num w:numId="38">
    <w:abstractNumId w:val="67"/>
  </w:num>
  <w:num w:numId="39">
    <w:abstractNumId w:val="53"/>
  </w:num>
  <w:num w:numId="40">
    <w:abstractNumId w:val="55"/>
  </w:num>
  <w:num w:numId="41">
    <w:abstractNumId w:val="42"/>
  </w:num>
  <w:num w:numId="42">
    <w:abstractNumId w:val="6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A01FD"/>
    <w:rsid w:val="001311C2"/>
    <w:rsid w:val="00137823"/>
    <w:rsid w:val="001566AD"/>
    <w:rsid w:val="00166C2B"/>
    <w:rsid w:val="00192B5C"/>
    <w:rsid w:val="001C0AC6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4C27"/>
    <w:rsid w:val="00280C23"/>
    <w:rsid w:val="002A19B9"/>
    <w:rsid w:val="002A1AFE"/>
    <w:rsid w:val="002B76B6"/>
    <w:rsid w:val="002D5E4F"/>
    <w:rsid w:val="002E0B5F"/>
    <w:rsid w:val="002F410E"/>
    <w:rsid w:val="003017A8"/>
    <w:rsid w:val="00302590"/>
    <w:rsid w:val="00302A85"/>
    <w:rsid w:val="00303CA6"/>
    <w:rsid w:val="00305F85"/>
    <w:rsid w:val="00313408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6636"/>
    <w:rsid w:val="0046155A"/>
    <w:rsid w:val="00480B4A"/>
    <w:rsid w:val="004822C7"/>
    <w:rsid w:val="00483CD9"/>
    <w:rsid w:val="00487D25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93BAB"/>
    <w:rsid w:val="005948EB"/>
    <w:rsid w:val="005A52B6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719D9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3244F"/>
    <w:rsid w:val="007325A4"/>
    <w:rsid w:val="00756A3C"/>
    <w:rsid w:val="00766C7F"/>
    <w:rsid w:val="00775C8A"/>
    <w:rsid w:val="00781151"/>
    <w:rsid w:val="007A0AFC"/>
    <w:rsid w:val="007A25DC"/>
    <w:rsid w:val="007B3AF7"/>
    <w:rsid w:val="007C3912"/>
    <w:rsid w:val="007C5F01"/>
    <w:rsid w:val="007F26E2"/>
    <w:rsid w:val="00823356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37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C0218"/>
    <w:rsid w:val="009D0441"/>
    <w:rsid w:val="009D73DC"/>
    <w:rsid w:val="009D7790"/>
    <w:rsid w:val="009F196A"/>
    <w:rsid w:val="009F7CD7"/>
    <w:rsid w:val="00A04669"/>
    <w:rsid w:val="00A06213"/>
    <w:rsid w:val="00A238DA"/>
    <w:rsid w:val="00A5300F"/>
    <w:rsid w:val="00A577F7"/>
    <w:rsid w:val="00A72CEE"/>
    <w:rsid w:val="00A95A43"/>
    <w:rsid w:val="00AA3832"/>
    <w:rsid w:val="00AB7DE2"/>
    <w:rsid w:val="00AC02AC"/>
    <w:rsid w:val="00AC03B3"/>
    <w:rsid w:val="00AD1294"/>
    <w:rsid w:val="00AF2A9B"/>
    <w:rsid w:val="00AF2C1D"/>
    <w:rsid w:val="00B16B0D"/>
    <w:rsid w:val="00B16D14"/>
    <w:rsid w:val="00B30FF2"/>
    <w:rsid w:val="00B44D8D"/>
    <w:rsid w:val="00B5040C"/>
    <w:rsid w:val="00B67C9A"/>
    <w:rsid w:val="00BA0CD0"/>
    <w:rsid w:val="00BB3231"/>
    <w:rsid w:val="00BC0418"/>
    <w:rsid w:val="00BF0B98"/>
    <w:rsid w:val="00C008C8"/>
    <w:rsid w:val="00C14613"/>
    <w:rsid w:val="00C14BBE"/>
    <w:rsid w:val="00C21113"/>
    <w:rsid w:val="00C27A09"/>
    <w:rsid w:val="00C42316"/>
    <w:rsid w:val="00C50357"/>
    <w:rsid w:val="00C545C9"/>
    <w:rsid w:val="00C7444C"/>
    <w:rsid w:val="00C931FA"/>
    <w:rsid w:val="00C936C1"/>
    <w:rsid w:val="00CA0EBC"/>
    <w:rsid w:val="00CB1A47"/>
    <w:rsid w:val="00CC18BA"/>
    <w:rsid w:val="00CC1BEB"/>
    <w:rsid w:val="00CE4488"/>
    <w:rsid w:val="00CF05DD"/>
    <w:rsid w:val="00CF2106"/>
    <w:rsid w:val="00D01D57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B340C"/>
    <w:rsid w:val="00DD0072"/>
    <w:rsid w:val="00DD248B"/>
    <w:rsid w:val="00DF012C"/>
    <w:rsid w:val="00DF0E62"/>
    <w:rsid w:val="00DF6CD6"/>
    <w:rsid w:val="00E3137E"/>
    <w:rsid w:val="00E32D1C"/>
    <w:rsid w:val="00E572EC"/>
    <w:rsid w:val="00E67CAC"/>
    <w:rsid w:val="00E750B8"/>
    <w:rsid w:val="00E808D7"/>
    <w:rsid w:val="00E85A04"/>
    <w:rsid w:val="00E956C2"/>
    <w:rsid w:val="00E956C4"/>
    <w:rsid w:val="00EB62BF"/>
    <w:rsid w:val="00EC1171"/>
    <w:rsid w:val="00EC5328"/>
    <w:rsid w:val="00ED2F84"/>
    <w:rsid w:val="00F07F02"/>
    <w:rsid w:val="00F51C87"/>
    <w:rsid w:val="00F522D5"/>
    <w:rsid w:val="00F5270F"/>
    <w:rsid w:val="00F74A65"/>
    <w:rsid w:val="00FC43B8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1D1285-972F-40E5-B21F-A54100D2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650F-CD3D-4E15-A956-92355211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5825</Words>
  <Characters>34956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2</cp:revision>
  <cp:lastPrinted>2019-11-26T09:34:00Z</cp:lastPrinted>
  <dcterms:created xsi:type="dcterms:W3CDTF">2019-12-04T12:42:00Z</dcterms:created>
  <dcterms:modified xsi:type="dcterms:W3CDTF">2019-12-04T12:42:00Z</dcterms:modified>
</cp:coreProperties>
</file>