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65" w:rsidRDefault="000321FF">
      <w:pPr>
        <w:pStyle w:val="SmallTitle"/>
      </w:pPr>
      <w:r>
        <w:t>Informacja o wykonaniu budżetu Gminy Charsznica</w:t>
      </w:r>
      <w:r>
        <w:br/>
        <w:t>za I kwartał 2023 roku</w:t>
      </w:r>
    </w:p>
    <w:p w:rsidR="006A3365" w:rsidRDefault="000321FF">
      <w:pPr>
        <w:jc w:val="both"/>
      </w:pPr>
      <w:r>
        <w:t xml:space="preserve">Zgodnie z art. 37 ust. 1 ustawy z dnia 27 sierpnia 2009 r. – o finansach publicznych (Dz. U. z 2022 r. poz. 1634 z późn. zm.) Wójt Gminy Charsznica podaje do publicznej wiadomości </w:t>
      </w:r>
      <w:r>
        <w:t>kwartalną informację o wykonaniu budżetu Gminy Charsznica, w tym kwotę deficytu, oraz o udzielonych umorzeniach nie</w:t>
      </w:r>
      <w:r w:rsidR="00194A1D">
        <w:t xml:space="preserve"> </w:t>
      </w:r>
      <w:r>
        <w:t>podatkowych należności budżetowych.</w:t>
      </w:r>
    </w:p>
    <w:p w:rsidR="006A3365" w:rsidRDefault="000321FF">
      <w:pPr>
        <w:jc w:val="both"/>
      </w:pPr>
      <w:r>
        <w:t>Budżet Gminy w 2023 roku, który został przyjęty uchwałą Rady Gminy Charsznica nr XXXIX/263/2022 z dnia 1.</w:t>
      </w:r>
      <w:r>
        <w:t>01.2023 roku, zakładał:</w:t>
      </w:r>
    </w:p>
    <w:p w:rsidR="006A3365" w:rsidRDefault="000321FF">
      <w:pPr>
        <w:pStyle w:val="Akapitzlist"/>
        <w:numPr>
          <w:ilvl w:val="0"/>
          <w:numId w:val="23"/>
        </w:numPr>
        <w:jc w:val="both"/>
      </w:pPr>
      <w:r>
        <w:t>uzyskanie dochodów w kwocie 38 401 015,61 zł;</w:t>
      </w:r>
    </w:p>
    <w:p w:rsidR="006A3365" w:rsidRDefault="000321FF">
      <w:pPr>
        <w:pStyle w:val="Akapitzlist"/>
        <w:numPr>
          <w:ilvl w:val="0"/>
          <w:numId w:val="23"/>
        </w:numPr>
        <w:jc w:val="both"/>
      </w:pPr>
      <w:r>
        <w:t>realizację wydatków na poziomie 44 429 290,04 zł;</w:t>
      </w:r>
    </w:p>
    <w:p w:rsidR="006A3365" w:rsidRDefault="000321FF">
      <w:pPr>
        <w:pStyle w:val="Akapitzlist"/>
        <w:numPr>
          <w:ilvl w:val="0"/>
          <w:numId w:val="23"/>
        </w:numPr>
        <w:jc w:val="both"/>
      </w:pPr>
      <w:r>
        <w:t>pozyskanie przychodów w kwocie 7 062 064,80 zł;</w:t>
      </w:r>
    </w:p>
    <w:p w:rsidR="006A3365" w:rsidRDefault="000321FF">
      <w:pPr>
        <w:pStyle w:val="Akapitzlist"/>
        <w:numPr>
          <w:ilvl w:val="0"/>
          <w:numId w:val="23"/>
        </w:numPr>
        <w:jc w:val="both"/>
      </w:pPr>
      <w:r>
        <w:t>realizację rozchodów na poziomie 1 033 790,37 zł.</w:t>
      </w:r>
    </w:p>
    <w:p w:rsidR="006A3365" w:rsidRDefault="000321FF">
      <w:pPr>
        <w:jc w:val="both"/>
      </w:pPr>
      <w:r>
        <w:t>Różnica między planem dochodów a plane</w:t>
      </w:r>
      <w:r>
        <w:t>m wydatków wynosiła 6 028 274,43 zł i stanowiła planowany deficyt budżetu Gminy Charsznica na 2023 rok. Planowana na 2023 rok wartość przychodów stanowiła źródło pokrycia powstałego deficytu a w pozostałej części została przeznaczona na rozchody.</w:t>
      </w:r>
    </w:p>
    <w:p w:rsidR="006A3365" w:rsidRDefault="000321FF">
      <w:pPr>
        <w:jc w:val="both"/>
      </w:pPr>
      <w:r>
        <w:t xml:space="preserve">W wyniku </w:t>
      </w:r>
      <w:r>
        <w:t>wprowadzonych zmian w pierwszym kwartale:</w:t>
      </w:r>
    </w:p>
    <w:p w:rsidR="006A3365" w:rsidRDefault="000321FF">
      <w:pPr>
        <w:pStyle w:val="Akapitzlist"/>
        <w:numPr>
          <w:ilvl w:val="0"/>
          <w:numId w:val="24"/>
        </w:numPr>
        <w:jc w:val="both"/>
      </w:pPr>
      <w:r>
        <w:t>plan dochodów wzrósł o 1 904 079,80 zł do kwoty 40 305 095,41 zł;</w:t>
      </w:r>
    </w:p>
    <w:p w:rsidR="006A3365" w:rsidRDefault="000321FF">
      <w:pPr>
        <w:pStyle w:val="Akapitzlist"/>
        <w:numPr>
          <w:ilvl w:val="0"/>
          <w:numId w:val="24"/>
        </w:numPr>
        <w:jc w:val="both"/>
      </w:pPr>
      <w:r>
        <w:t>plan wydatków wzrósł o 4 758 670,78 zł do kwoty 49 187 960,82 zł;</w:t>
      </w:r>
    </w:p>
    <w:p w:rsidR="006A3365" w:rsidRDefault="000321FF">
      <w:pPr>
        <w:pStyle w:val="Akapitzlist"/>
        <w:numPr>
          <w:ilvl w:val="0"/>
          <w:numId w:val="24"/>
        </w:numPr>
        <w:jc w:val="both"/>
      </w:pPr>
      <w:r>
        <w:t>plan przychodów wzrósł o 2 854 590,98 zł do kwoty 9 916 655,78 zł;</w:t>
      </w:r>
    </w:p>
    <w:p w:rsidR="006A3365" w:rsidRDefault="000321FF">
      <w:pPr>
        <w:pStyle w:val="Akapitzlist"/>
        <w:numPr>
          <w:ilvl w:val="0"/>
          <w:numId w:val="24"/>
        </w:numPr>
        <w:jc w:val="both"/>
      </w:pPr>
      <w:r>
        <w:t xml:space="preserve">plan rozchodów </w:t>
      </w:r>
      <w:r>
        <w:t>nie uległ zmianie.</w:t>
      </w:r>
    </w:p>
    <w:p w:rsidR="006A3365" w:rsidRDefault="000321FF">
      <w:pPr>
        <w:jc w:val="both"/>
      </w:pPr>
      <w:r>
        <w:t>Na dzień 31 marca 2023 roku budżet Gminy Charsznica zamknął się planowanym deficytem budżetowym w kwocie 8 882 865,41 zł stanowiącym różnicę między planem dochodów a planem wydatków.</w:t>
      </w:r>
    </w:p>
    <w:p w:rsidR="006A3365" w:rsidRDefault="000321FF">
      <w:pPr>
        <w:jc w:val="both"/>
      </w:pPr>
      <w:r>
        <w:t xml:space="preserve">W ujęciu tabelarycznym wykonanie budżetu za I kwartał </w:t>
      </w:r>
      <w:r>
        <w:t>2023 r. przedstawia poniższa tabela.</w:t>
      </w:r>
    </w:p>
    <w:tbl>
      <w:tblPr>
        <w:tblStyle w:val="TabelaCurulis"/>
        <w:tblW w:w="5000" w:type="pct"/>
        <w:tblLook w:val="04A0"/>
      </w:tblPr>
      <w:tblGrid>
        <w:gridCol w:w="391"/>
        <w:gridCol w:w="5707"/>
        <w:gridCol w:w="1033"/>
        <w:gridCol w:w="1033"/>
        <w:gridCol w:w="1033"/>
        <w:gridCol w:w="837"/>
      </w:tblGrid>
      <w:tr w:rsidR="006A3365" w:rsidTr="006A3365">
        <w:trPr>
          <w:cnfStyle w:val="100000000000"/>
          <w:tblHeader/>
        </w:trPr>
        <w:tc>
          <w:tcPr>
            <w:cnfStyle w:val="001000000000"/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Lp.</w:t>
            </w:r>
          </w:p>
        </w:tc>
        <w:tc>
          <w:tcPr>
            <w:tcW w:w="7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1.01.2023 r. (w zł)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31.03.2023 r. (w zł)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4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left"/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ogółem,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38 401 015,61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40 305 095,41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9 914 341,59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24,60%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left"/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Dochody </w:t>
            </w:r>
            <w:r>
              <w:rPr>
                <w:sz w:val="15"/>
                <w:szCs w:val="15"/>
              </w:rPr>
              <w:t>bieżące,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30 392 015,61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31 846 095,41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9 913 171,83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31,13%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Dotacje i dochody celowe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3 660 811,66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3 827 888,85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1 051 298,57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27,46%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Subwencja ogólna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13 585 029,00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13 608 200,00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4 452 621,00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32,72%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Udziały w PIT i CIT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4 137 894,00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4 137 894,00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1 034 472,00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25,00%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Wpływy z podatków i opłat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8 159 062,00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8 161 112,00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2 353 720,91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28,84%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Pozostałe dochody bieżące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849 218,95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2 111 000,56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1 021 059,35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48,37%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left"/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majątkowe,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8 009 000,00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8 459 000,00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1 169,76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Dochody z majątku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504 000,00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504 000,00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1 169,76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0,23%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Dotacje i środki na inwestycje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7 505 000,00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7 955 000,00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Pozostałe dochody majątkowe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-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left"/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Wydatki ogółem,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44 429 290,04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49 187 960,82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10 327 658,29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21,00%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left"/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bieżące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30 346 435,71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32 552 569,38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9 085 918,55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27,91%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left"/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majątkowe,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14 082 854,33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16 635 391,44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1 241 739,74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7,46%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wydatki na inwestycje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14 082 854,33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16 635 391,44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1 241 739,74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7,46%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III.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left"/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Wynik +/- (I-II)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-6 028 274,43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-8 882 865,41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-413 316,70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6A3365" w:rsidTr="006A3365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IV.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jc w:val="left"/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Różnica między dochodami bieżącymi a wydatkami bieżącymi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45 579,90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-706 473,97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827 253,28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</w:tbl>
    <w:p w:rsidR="006A3365" w:rsidRDefault="006A3365">
      <w:pPr>
        <w:jc w:val="both"/>
      </w:pPr>
    </w:p>
    <w:p w:rsidR="006A3365" w:rsidRDefault="000321FF">
      <w:pPr>
        <w:jc w:val="both"/>
      </w:pPr>
      <w:r>
        <w:t xml:space="preserve">Na koniec pierwszego kwartału wystąpił deficyt budżetowy w kwocie 413 316,70 zł. Różnica między dochodami bieżącymi a wydatkami bieżącymi </w:t>
      </w:r>
      <w:r>
        <w:t>(wynik budżetu bieżącego) wynosi 827 253,28 zł.</w:t>
      </w:r>
    </w:p>
    <w:p w:rsidR="006A3365" w:rsidRDefault="000321FF">
      <w:pPr>
        <w:pStyle w:val="SmallSubtitle"/>
      </w:pPr>
      <w:r>
        <w:t>Dochody</w:t>
      </w:r>
    </w:p>
    <w:p w:rsidR="006A3365" w:rsidRDefault="000321FF">
      <w:pPr>
        <w:jc w:val="both"/>
      </w:pPr>
      <w:r>
        <w:t>Dochody budżetu Gminy w pierwszym kwartale 2023 roku wyniosły 9 914 341,59 zł, a ich realizacja stanowiła 24,60% planu wynoszącego 40 305 095,41 zł. W strukturze dochodów znaczący udział odgrywają doc</w:t>
      </w:r>
      <w:r>
        <w:t xml:space="preserve">hody bieżące, które w pierwszym kwartale 2023 roku zostały wykonane na poziomie 9 913 171,83 zł, tj. w 31,13% w stosunku do planu </w:t>
      </w:r>
      <w:r>
        <w:lastRenderedPageBreak/>
        <w:t>wynoszącego 31 846 095,41 zł. Dochody majątkowe Gminy Charsznica w pierwszym kwartale 2023 roku zostały wykonane na poziomie 1</w:t>
      </w:r>
      <w:r>
        <w:t> 169,76 zł, tj. w 0,01% w stosunku do planu wynoszącego 8 459 000,00 zł.</w:t>
      </w:r>
    </w:p>
    <w:p w:rsidR="006A3365" w:rsidRDefault="000321FF">
      <w:pPr>
        <w:pStyle w:val="SmallSubtitle"/>
      </w:pPr>
      <w:r>
        <w:t>Dotacje i dochody celowe bieżące</w:t>
      </w:r>
    </w:p>
    <w:p w:rsidR="006A3365" w:rsidRDefault="000321FF">
      <w:pPr>
        <w:jc w:val="both"/>
      </w:pPr>
      <w:r>
        <w:t xml:space="preserve">Biorąc pod uwagę podział dochodów bieżących wg źródeł ich pochodzenia znaczący udział w pierwszym kwartale 2023 roku stanowiły dochody o charakterze </w:t>
      </w:r>
      <w:r>
        <w:t>celowym, które JST otrzymuje od podmiotów zewnętrznych. W pierwszym kwartale 2023 roku środki te zostały zaplanowane w kwocie 3 827 888,85 zł, z kolei zrealizowane na poziomie 1 051 298,57 zł, co stanowi 27,46% realizacji planu, przy czym:</w:t>
      </w:r>
    </w:p>
    <w:p w:rsidR="006A3365" w:rsidRDefault="000321FF">
      <w:pPr>
        <w:pStyle w:val="Akapitzlist"/>
        <w:numPr>
          <w:ilvl w:val="0"/>
          <w:numId w:val="25"/>
        </w:numPr>
        <w:jc w:val="both"/>
      </w:pPr>
      <w:r>
        <w:t>dotacje celowe o</w:t>
      </w:r>
      <w:r>
        <w:t>trzymane z budżetu państwa na realizację zadań z zakresu administracji rządowej wyniosły 742 449,30 zł;</w:t>
      </w:r>
    </w:p>
    <w:p w:rsidR="006A3365" w:rsidRDefault="000321FF">
      <w:pPr>
        <w:pStyle w:val="Akapitzlist"/>
        <w:numPr>
          <w:ilvl w:val="0"/>
          <w:numId w:val="25"/>
        </w:numPr>
        <w:jc w:val="both"/>
      </w:pPr>
      <w:r>
        <w:t>dotacje celowe otrzymane z budżetu państwa na zadania własne 159 723,16 zł;</w:t>
      </w:r>
    </w:p>
    <w:p w:rsidR="006A3365" w:rsidRDefault="000321FF">
      <w:pPr>
        <w:pStyle w:val="Akapitzlist"/>
        <w:numPr>
          <w:ilvl w:val="0"/>
          <w:numId w:val="25"/>
        </w:numPr>
        <w:jc w:val="both"/>
      </w:pPr>
      <w:r>
        <w:t>dochody z dotacji w ramach programów finansowanych z udziałem środków europe</w:t>
      </w:r>
      <w:r>
        <w:t xml:space="preserve">jskich 9 100,00 zł (w tym na realizację programu, projektu lub zadania finansowanego z udziałem środków, o których mowa w art. 5 ust. 1 </w:t>
      </w:r>
      <w:r w:rsidR="00194A1D">
        <w:t>pkt.</w:t>
      </w:r>
      <w:r>
        <w:t xml:space="preserve"> 2 ustawy 9 100,00 zł);</w:t>
      </w:r>
    </w:p>
    <w:p w:rsidR="006A3365" w:rsidRDefault="000321FF">
      <w:pPr>
        <w:pStyle w:val="Akapitzlist"/>
        <w:numPr>
          <w:ilvl w:val="0"/>
          <w:numId w:val="25"/>
        </w:numPr>
        <w:jc w:val="both"/>
      </w:pPr>
      <w:r>
        <w:t>pozostałe dochody o charakterze celowym 140 026,11 zł.</w:t>
      </w:r>
    </w:p>
    <w:p w:rsidR="006A3365" w:rsidRDefault="000321FF">
      <w:pPr>
        <w:pStyle w:val="SmallSubtitle"/>
      </w:pPr>
      <w:r>
        <w:t>Subwencja ogólna</w:t>
      </w:r>
    </w:p>
    <w:p w:rsidR="006A3365" w:rsidRDefault="000321FF">
      <w:pPr>
        <w:jc w:val="both"/>
      </w:pPr>
      <w:r>
        <w:t>Dochody z subwencji w</w:t>
      </w:r>
      <w:r>
        <w:t xml:space="preserve"> pierwszym kwartale 2023 roku zostały zaplanowane na poziomie 13 608 200,00 zł, natomiast zrealizowane w kwocie 4 452 621,00 zł, co stanowi 32,72% realizacji planu, przy czym:</w:t>
      </w:r>
    </w:p>
    <w:p w:rsidR="006A3365" w:rsidRDefault="000321FF">
      <w:pPr>
        <w:pStyle w:val="Akapitzlist"/>
        <w:numPr>
          <w:ilvl w:val="0"/>
          <w:numId w:val="26"/>
        </w:numPr>
        <w:jc w:val="both"/>
      </w:pPr>
      <w:r>
        <w:t>dochody z subwencji oświatowej wyniosły 3 001 635,00 zł;</w:t>
      </w:r>
    </w:p>
    <w:p w:rsidR="006A3365" w:rsidRDefault="000321FF">
      <w:pPr>
        <w:pStyle w:val="Akapitzlist"/>
        <w:numPr>
          <w:ilvl w:val="0"/>
          <w:numId w:val="26"/>
        </w:numPr>
        <w:jc w:val="both"/>
      </w:pPr>
      <w:r>
        <w:t>dochody z subwencji wyr</w:t>
      </w:r>
      <w:r>
        <w:t>ównawczej 1 450 986,00 zł.</w:t>
      </w:r>
    </w:p>
    <w:p w:rsidR="006A3365" w:rsidRDefault="000321FF">
      <w:pPr>
        <w:pStyle w:val="SmallSubtitle"/>
      </w:pPr>
      <w:r>
        <w:t>Udział w podatkach stanowiących dochód budżetu państwa</w:t>
      </w:r>
    </w:p>
    <w:p w:rsidR="006A3365" w:rsidRDefault="000321FF">
      <w:pPr>
        <w:jc w:val="both"/>
      </w:pPr>
      <w:r>
        <w:t>Udziały w podatkach stanowiących dochód budżetu państwa zaplanowane zostały w kwocie 4 137 894,00 zł, zaś zrealizowane w pierwszym kwartale 2023 roku w kwocie 1 034 472,00 zł</w:t>
      </w:r>
      <w:r>
        <w:t>, co stanowi 25,00% realizacji planu, przy czym:</w:t>
      </w:r>
    </w:p>
    <w:p w:rsidR="006A3365" w:rsidRDefault="000321FF">
      <w:pPr>
        <w:pStyle w:val="Akapitzlist"/>
        <w:numPr>
          <w:ilvl w:val="0"/>
          <w:numId w:val="27"/>
        </w:numPr>
        <w:jc w:val="both"/>
      </w:pPr>
      <w:r>
        <w:t>dochody z tytułu wpływów z podatku od osób prawnych wyniosły 26 232,00 zł;</w:t>
      </w:r>
    </w:p>
    <w:p w:rsidR="006A3365" w:rsidRDefault="000321FF">
      <w:pPr>
        <w:pStyle w:val="Akapitzlist"/>
        <w:numPr>
          <w:ilvl w:val="0"/>
          <w:numId w:val="27"/>
        </w:numPr>
        <w:jc w:val="both"/>
      </w:pPr>
      <w:r>
        <w:t>dochody z tytułu wpływów z podatku od osób fizycznych wyniosły 1 008 240,00 zł.</w:t>
      </w:r>
    </w:p>
    <w:p w:rsidR="006A3365" w:rsidRDefault="000321FF">
      <w:pPr>
        <w:pStyle w:val="SmallSubtitle"/>
      </w:pPr>
      <w:r>
        <w:t>Wpływy z podatków i opłat lokalnych</w:t>
      </w:r>
    </w:p>
    <w:p w:rsidR="006A3365" w:rsidRDefault="000321FF">
      <w:pPr>
        <w:pStyle w:val="Heading5"/>
        <w:jc w:val="both"/>
      </w:pPr>
      <w:r>
        <w:t>Podatek od nieru</w:t>
      </w:r>
      <w:r>
        <w:t>chomości</w:t>
      </w:r>
    </w:p>
    <w:p w:rsidR="006A3365" w:rsidRDefault="000321FF">
      <w:pPr>
        <w:jc w:val="both"/>
      </w:pPr>
      <w:r>
        <w:t xml:space="preserve">Wpływy z podatku od nieruchomości w pierwszym kwartale 2023 roku zostały zrealizowane w kwocie 470 469,64 zł, co stanowi 24,76% realizacji planu wynoszącego 1 900 000,00 zł, w tym 337 290,53 zł od osób prawnych i 133 179,11 zł od osób fizycznych. </w:t>
      </w:r>
      <w:r>
        <w:t>Zaległości podatkowe na dzień 31 marca 2023 roku wynoszą 531 587,75 zł, w tym 323 848,12 zł od osób prawnych i 207 739,63 zł od osób fizycznych. Z uwagi, iż Gmina w okresie sprawozdawczym nie stosowała maksymalnych stawek wynikających z obwieszczenia MF, s</w:t>
      </w:r>
      <w:r>
        <w:t>kutki obniżenia górnych stawek podatków kształtują się na poziomie 47 657,58 zł.</w:t>
      </w:r>
    </w:p>
    <w:p w:rsidR="006A3365" w:rsidRDefault="000321FF">
      <w:pPr>
        <w:pStyle w:val="Heading5"/>
        <w:jc w:val="both"/>
      </w:pPr>
      <w:r>
        <w:t>Podatek rolny</w:t>
      </w:r>
    </w:p>
    <w:p w:rsidR="006A3365" w:rsidRDefault="000321FF">
      <w:pPr>
        <w:jc w:val="both"/>
      </w:pPr>
      <w:r>
        <w:t xml:space="preserve">Wpływy z podatku rolnego w pierwszym kwartale 2023 roku zostały zrealizowane w kwocie 692 852,32 zł, co stanowi 43,14% realizacji planu wynoszącego 1 606 000,00 </w:t>
      </w:r>
      <w:r>
        <w:t>zł, w tym 4 399,00 zł od osób prawnych i 688 453,32 zł od osób fizycznych. Zaległości podatkowe na dzień 31 marca 2023 roku wynoszą 373 550,17 zł, w tym 330,00 zł od osób prawnych i 373 220,17 zł od osób fizycznych.</w:t>
      </w:r>
    </w:p>
    <w:p w:rsidR="006A3365" w:rsidRDefault="000321FF">
      <w:pPr>
        <w:pStyle w:val="Heading5"/>
        <w:jc w:val="both"/>
      </w:pPr>
      <w:r>
        <w:t>Podatek leśny</w:t>
      </w:r>
    </w:p>
    <w:p w:rsidR="006A3365" w:rsidRDefault="000321FF">
      <w:pPr>
        <w:jc w:val="both"/>
      </w:pPr>
      <w:r>
        <w:t>Wpływy z podatku leśnego w</w:t>
      </w:r>
      <w:r>
        <w:t xml:space="preserve"> pierwszym kwartale 2023 roku zostały zrealizowane w kwocie 7 159,33 zł, co stanowi 22,37% realizacji planu wynoszącego 32 000,00 zł, w tym 6 346,00 zł od osób prawnych i 813,33 zł od osób fizycznych. Zaległości podatkowe na dzień 31 marca 2023 roku wynosz</w:t>
      </w:r>
      <w:r>
        <w:t>ą 976,34 zł, w tym 0,00 zł od osób prawnych i 976,34 zł od osób fizycznych.</w:t>
      </w:r>
    </w:p>
    <w:p w:rsidR="006A3365" w:rsidRDefault="000321FF">
      <w:pPr>
        <w:pStyle w:val="Heading5"/>
        <w:jc w:val="both"/>
      </w:pPr>
      <w:r>
        <w:lastRenderedPageBreak/>
        <w:t>Podatek od środków transportowych</w:t>
      </w:r>
    </w:p>
    <w:p w:rsidR="006A3365" w:rsidRDefault="000321FF">
      <w:pPr>
        <w:jc w:val="both"/>
      </w:pPr>
      <w:r>
        <w:t>Wpływy z podatku od środków transportowych w pierwszym kwartale 2023 roku zostały zrealizowane w kwocie 494 111,13 zł, co stanowi 38,60% realizacj</w:t>
      </w:r>
      <w:r>
        <w:t>i planu wynoszącego 1 280 000,00 zł, w tym 11 295,00 zł od osób prawnych i 482 816,13 zł od osób fizycznych. Zaległości podatkowe na dzień 31 marca 2023 roku wynoszą 581 800,76 zł, w tym 63 059,50 zł od osób prawnych i 518 741,26 zł od osób fizycznych. Z u</w:t>
      </w:r>
      <w:r>
        <w:t>wagi, iż Gmina nie stosuje maksymalnych stawek wynikających z obwieszczenia MF, skutki obniżenia górnych stawek podatków za okres sprawozdawczy kształtują się na poziomie 21 036,69 zł.</w:t>
      </w:r>
    </w:p>
    <w:p w:rsidR="006A3365" w:rsidRDefault="000321FF">
      <w:pPr>
        <w:pStyle w:val="Heading5"/>
        <w:jc w:val="both"/>
      </w:pPr>
      <w:r>
        <w:t>Podatek od działalności gospodarczej osób fizycznych, opłacany w formie</w:t>
      </w:r>
      <w:r>
        <w:t xml:space="preserve"> karty podatkowej</w:t>
      </w:r>
    </w:p>
    <w:p w:rsidR="006A3365" w:rsidRDefault="000321FF">
      <w:pPr>
        <w:jc w:val="both"/>
      </w:pPr>
      <w:r>
        <w:t>Wpływy z podatku od działalności gospodarczej osób fizycznych, opłacanego w formie karty podatkowej w pierwszym kwartale 2023 roku zostały zrealizowane w kwocie 2 270,61 zł, co stanowi 4,37% realizacji planu wynoszącego 52 000,00 zł. Zale</w:t>
      </w:r>
      <w:r>
        <w:t>głości podatkowe na dzień 31 marca 2023 roku wynoszą 454,68 zł.</w:t>
      </w:r>
    </w:p>
    <w:p w:rsidR="006A3365" w:rsidRDefault="000321FF">
      <w:pPr>
        <w:pStyle w:val="Heading5"/>
        <w:jc w:val="both"/>
      </w:pPr>
      <w:r>
        <w:t>Podatek od spadków i darowizn</w:t>
      </w:r>
    </w:p>
    <w:p w:rsidR="006A3365" w:rsidRDefault="000321FF">
      <w:pPr>
        <w:jc w:val="both"/>
      </w:pPr>
      <w:r>
        <w:t xml:space="preserve">Wpływy z podatku od spadków i darowizn w pierwszym kwartale 2023 roku zostały zrealizowane w kwocie 6 705,00 zł, co stanowi 16,76% realizacji planu wynoszącego </w:t>
      </w:r>
      <w:r>
        <w:t>40 000,00 zł. Zaległości podatkowe na dzień 31 marca 2023 roku wynoszą 0,00 zł.</w:t>
      </w:r>
    </w:p>
    <w:p w:rsidR="006A3365" w:rsidRDefault="000321FF">
      <w:pPr>
        <w:pStyle w:val="Heading5"/>
        <w:jc w:val="both"/>
      </w:pPr>
      <w:r>
        <w:t>Podatek od czynności cywilnoprawnych</w:t>
      </w:r>
    </w:p>
    <w:p w:rsidR="006A3365" w:rsidRDefault="000321FF">
      <w:pPr>
        <w:jc w:val="both"/>
      </w:pPr>
      <w:r>
        <w:t xml:space="preserve">Wpływy z podatku od czynności cywilnoprawnych w pierwszym kwartale 2023 roku zostały zrealizowane w kwocie 60 362,35 zł, co stanowi 26,47% </w:t>
      </w:r>
      <w:r>
        <w:t>realizacji planu wynoszącego 228 000,00 zł, w tym 19,00 zł od osób prawnych i 60 343,35 zł od osób fizycznych. Zaległości podatkowe na dzień 31 marca 2023 roku wynoszą 853,94 zł, w tym 0,00 zł od osób prawnych i 853,94 zł od osób fizycznych.</w:t>
      </w:r>
    </w:p>
    <w:p w:rsidR="006A3365" w:rsidRDefault="000321FF">
      <w:pPr>
        <w:pStyle w:val="Heading5"/>
        <w:jc w:val="both"/>
      </w:pPr>
      <w:r>
        <w:t>Wpływy z opłat</w:t>
      </w:r>
      <w:r>
        <w:t>y skarbowej</w:t>
      </w:r>
    </w:p>
    <w:p w:rsidR="006A3365" w:rsidRDefault="000321FF">
      <w:pPr>
        <w:jc w:val="both"/>
      </w:pPr>
      <w:r>
        <w:t>Wpływy z opłaty skarbowej w pierwszym kwartale 2023 roku zostały zrealizowane w kwocie 4 793,00 zł, co stanowi 23,97% realizacji planu wynoszącego 20 000,00 zł.</w:t>
      </w:r>
    </w:p>
    <w:p w:rsidR="006A3365" w:rsidRDefault="000321FF">
      <w:pPr>
        <w:pStyle w:val="Heading5"/>
        <w:jc w:val="both"/>
      </w:pPr>
      <w:r>
        <w:t>Wpływy z opłat lokalnych</w:t>
      </w:r>
    </w:p>
    <w:p w:rsidR="006A3365" w:rsidRDefault="000321FF">
      <w:pPr>
        <w:jc w:val="both"/>
      </w:pPr>
      <w:r>
        <w:t>Wpływy z opłat w 2023 roku zostały zaplanowane na poziomie</w:t>
      </w:r>
      <w:r>
        <w:t xml:space="preserve"> 3 003 112,00 zł, natomiast zrealizowane w pierwszym kwartale w kwocie 614 997,53 zł, co stanowi 20,48% realizacji planu. Najwyższe wpływy z opłat zrealizowane zostały z:</w:t>
      </w:r>
    </w:p>
    <w:p w:rsidR="006A3365" w:rsidRDefault="000321FF">
      <w:pPr>
        <w:pStyle w:val="Akapitzlist"/>
        <w:numPr>
          <w:ilvl w:val="0"/>
          <w:numId w:val="28"/>
        </w:numPr>
        <w:jc w:val="both"/>
      </w:pPr>
      <w:r>
        <w:t>§049 (wpływy z innych lokalnych opłat pobieranych przez jednostki samorządu terytoria</w:t>
      </w:r>
      <w:r>
        <w:t>lnego na podstawie odrębnych ustaw) – 516 237,45 zł;</w:t>
      </w:r>
    </w:p>
    <w:p w:rsidR="006A3365" w:rsidRDefault="000321FF">
      <w:pPr>
        <w:pStyle w:val="Akapitzlist"/>
        <w:numPr>
          <w:ilvl w:val="0"/>
          <w:numId w:val="28"/>
        </w:numPr>
        <w:jc w:val="both"/>
      </w:pPr>
      <w:r>
        <w:t>§048 (wpływy z opłat za zezwolenia na sprzedaż napojów alkoholowych) – 51 307,58 zł;</w:t>
      </w:r>
    </w:p>
    <w:p w:rsidR="006A3365" w:rsidRDefault="000321FF">
      <w:pPr>
        <w:pStyle w:val="Akapitzlist"/>
        <w:numPr>
          <w:ilvl w:val="0"/>
          <w:numId w:val="28"/>
        </w:numPr>
        <w:jc w:val="both"/>
      </w:pPr>
      <w:r>
        <w:t>§067 (wpływy z opłat za korzystanie z wyżywienia w jednostkach realizujących zadania z zakresu wychowania przedszkolne</w:t>
      </w:r>
      <w:r>
        <w:t>go) – 35 402,00 zł;</w:t>
      </w:r>
    </w:p>
    <w:p w:rsidR="006A3365" w:rsidRDefault="000321FF">
      <w:pPr>
        <w:pStyle w:val="Akapitzlist"/>
        <w:numPr>
          <w:ilvl w:val="0"/>
          <w:numId w:val="28"/>
        </w:numPr>
        <w:jc w:val="both"/>
      </w:pPr>
      <w:r>
        <w:t>§066 (wpływy z opłat za korzystanie z wychowania przedszkolnego) – 3 975,50 zł;</w:t>
      </w:r>
    </w:p>
    <w:p w:rsidR="006A3365" w:rsidRDefault="000321FF">
      <w:pPr>
        <w:pStyle w:val="Akapitzlist"/>
        <w:numPr>
          <w:ilvl w:val="0"/>
          <w:numId w:val="28"/>
        </w:numPr>
        <w:jc w:val="both"/>
      </w:pPr>
      <w:r>
        <w:t>§064 (wpływy z tytułu kosztów egzekucyjnych, opłaty komorniczej i kosztów upomnień) – 3 770,60 zł.</w:t>
      </w:r>
    </w:p>
    <w:p w:rsidR="006A3365" w:rsidRDefault="000321FF">
      <w:pPr>
        <w:pStyle w:val="SmallSubtitle"/>
      </w:pPr>
      <w:r>
        <w:t>Pozostałe dochody bieżące</w:t>
      </w:r>
    </w:p>
    <w:p w:rsidR="006A3365" w:rsidRDefault="000321FF">
      <w:pPr>
        <w:jc w:val="both"/>
      </w:pPr>
      <w:r>
        <w:t xml:space="preserve">Pozostałe dochody bieżące to </w:t>
      </w:r>
      <w:r>
        <w:t>dochody niesklasyfikowane w ramach wcześniejszych grup. W okresie sprawozdawczym przewiduje się wykonanie na poziomie 2 111 000,56 zł. Plan w pierwszym kwartale został wykonany w kwocie 1 021 059,35 zł, co stanowi 48,37% założeń.</w:t>
      </w:r>
    </w:p>
    <w:p w:rsidR="006A3365" w:rsidRDefault="000321FF">
      <w:pPr>
        <w:pStyle w:val="SmallSubtitle"/>
      </w:pPr>
      <w:r>
        <w:t>Dochody z majątku</w:t>
      </w:r>
    </w:p>
    <w:p w:rsidR="006A3365" w:rsidRDefault="000321FF">
      <w:pPr>
        <w:jc w:val="both"/>
      </w:pPr>
      <w:r>
        <w:t xml:space="preserve">Dochody </w:t>
      </w:r>
      <w:r>
        <w:t>z majątku zostały zaplanowane na poziomie 504 000,00 zł, natomiast zrealizowane w pierwszym kwartale 2023 roku w kwocie 1 169,76 zł, co stanowi 0,23% realizacji planu, przy czym:</w:t>
      </w:r>
    </w:p>
    <w:p w:rsidR="006A3365" w:rsidRDefault="000321FF">
      <w:pPr>
        <w:pStyle w:val="Akapitzlist"/>
        <w:numPr>
          <w:ilvl w:val="0"/>
          <w:numId w:val="29"/>
        </w:numPr>
        <w:jc w:val="both"/>
      </w:pPr>
      <w:r>
        <w:t>wpływy z tytułu przekształcenia prawa użytkowania wieczystego w prawo własnoś</w:t>
      </w:r>
      <w:r>
        <w:t>ci wyniosły 1 169,76 zł.</w:t>
      </w:r>
    </w:p>
    <w:p w:rsidR="006A3365" w:rsidRDefault="000321FF">
      <w:pPr>
        <w:pStyle w:val="SmallSubtitle"/>
      </w:pPr>
      <w:r>
        <w:lastRenderedPageBreak/>
        <w:t>Dotacje i środki na inwestycje</w:t>
      </w:r>
    </w:p>
    <w:p w:rsidR="006A3365" w:rsidRDefault="000321FF">
      <w:pPr>
        <w:jc w:val="both"/>
      </w:pPr>
      <w:r>
        <w:t>Dotacje i środki na inwestycje w 2023 roku zostały zaplanowane na poziomie 7 955 000,00 zł, natomiast zrealizowane w pierwszym kwartale w kwocie 0,00 zł, co stanowi 0,00% realizacji planu.</w:t>
      </w:r>
    </w:p>
    <w:p w:rsidR="006A3365" w:rsidRDefault="000321FF">
      <w:pPr>
        <w:pStyle w:val="SmallSubtitle"/>
      </w:pPr>
      <w:r>
        <w:t>Wydatki</w:t>
      </w:r>
    </w:p>
    <w:p w:rsidR="006A3365" w:rsidRDefault="000321FF">
      <w:pPr>
        <w:jc w:val="both"/>
      </w:pPr>
      <w:r>
        <w:t>Wyd</w:t>
      </w:r>
      <w:r>
        <w:t>atki budżetu Gminy w pierwszym kwartale 2023 roku wyniosły 10 327 658,29 zł, a ich realizacja wyniosła 21,00% planu wynoszącego 49 187 960,82 zł. W pierwszym kwartale 2023 roku wydatki bieżące zostały wykonane na poziomie 9 085 918,55 zł, tj. w 27,91% w st</w:t>
      </w:r>
      <w:r>
        <w:t>osunku do planu po zmianach wynoszącego 32 552 569,38 zł, z kolei majątkowe zostały wykonane na poziomie 1 241 739,74 zł, tj. w 7,46% w stosunku do planu po zmianach wynoszącego 16 635 391,44 zł.</w:t>
      </w:r>
    </w:p>
    <w:p w:rsidR="006A3365" w:rsidRDefault="000321FF">
      <w:pPr>
        <w:jc w:val="both"/>
      </w:pPr>
      <w:r>
        <w:t>Realizację planu wydatków w pierwszym kwartale 2023 roku prz</w:t>
      </w:r>
      <w:r>
        <w:t>edstawia tabela poniżej.</w:t>
      </w:r>
    </w:p>
    <w:tbl>
      <w:tblPr>
        <w:tblStyle w:val="TabelaCurulis"/>
        <w:tblW w:w="5000" w:type="pct"/>
        <w:tblLook w:val="04A0"/>
      </w:tblPr>
      <w:tblGrid>
        <w:gridCol w:w="504"/>
        <w:gridCol w:w="2782"/>
        <w:gridCol w:w="1579"/>
        <w:gridCol w:w="1579"/>
        <w:gridCol w:w="1579"/>
        <w:gridCol w:w="1278"/>
        <w:gridCol w:w="733"/>
      </w:tblGrid>
      <w:tr w:rsidR="006A3365" w:rsidTr="006A3365">
        <w:trPr>
          <w:cnfStyle w:val="100000000000"/>
          <w:tblHeader/>
        </w:trPr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1.01.2023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31.03.2023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10000000000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 %)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12 642 819,77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12 789 890,65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3 603 090,39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28,17%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34,89%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11 481 637,64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13 094 418,66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1 903 275,87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14,54%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18,43%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5 247 808,79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5 377 033,06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1 592 481,09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29,62%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15,42%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48 299,66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1 564 117,40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1 310 940,19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83,81%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12,69%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3 230 557,00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3 288 105,16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817 724,16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24,87%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7,92%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2 121 420,00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2 126 315,51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530 964,22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5,14%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1 197 558,01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1 181 950,00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300 680,00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25,44%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2,91%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6 144 739,11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6 146 582,12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57 355,22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0,56%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Obsługa długu publicznego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49 168,33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10,93%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0,48%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459 000,00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1 122 516,00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41 016,56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0,40%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35 980,47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38,69%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0,35%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22 173,00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55,43%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0,21</w:t>
            </w:r>
            <w:r>
              <w:rPr>
                <w:sz w:val="15"/>
                <w:szCs w:val="15"/>
              </w:rPr>
              <w:t>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Ochrona zdrowia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330 582,20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20 554,54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6,22%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0,20%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68 650,15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68 650,15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29,13%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0,19%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765 999,91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1 175 999,91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17 609,25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0,17%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usługowa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4 645,00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Obrona narodowa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6A3365" w:rsidTr="006A3365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6A3365" w:rsidTr="006A3365">
        <w:tc>
          <w:tcPr>
            <w:cnfStyle w:val="00100000000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6A336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44 429 290,04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49 187 960,82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10 327 658,29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21,00%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6A3365" w:rsidRDefault="000321FF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:rsidR="006A3365" w:rsidRDefault="006A3365">
      <w:pPr>
        <w:jc w:val="both"/>
      </w:pPr>
    </w:p>
    <w:p w:rsidR="006A3365" w:rsidRDefault="000321FF">
      <w:pPr>
        <w:jc w:val="both"/>
      </w:pPr>
      <w:r>
        <w:t>Podział wydatków wg rodzajów przedstawia się następująco:</w:t>
      </w:r>
    </w:p>
    <w:p w:rsidR="006A3365" w:rsidRDefault="000321FF">
      <w:pPr>
        <w:pStyle w:val="Akapitzlist"/>
        <w:numPr>
          <w:ilvl w:val="0"/>
          <w:numId w:val="30"/>
        </w:numPr>
        <w:jc w:val="both"/>
      </w:pPr>
      <w:r>
        <w:t>wydatki bieżące zostały wykonane na poziomie</w:t>
      </w:r>
      <w:r>
        <w:t xml:space="preserve"> 9 085 918,55 zł, tj. w 27,91% w stosunku do planu po zmianach wynoszącego 32 552 569,38 zł, z tego:</w:t>
      </w:r>
    </w:p>
    <w:p w:rsidR="006A3365" w:rsidRDefault="000321FF">
      <w:pPr>
        <w:pStyle w:val="Akapitzlist"/>
        <w:numPr>
          <w:ilvl w:val="1"/>
          <w:numId w:val="30"/>
        </w:numPr>
        <w:jc w:val="both"/>
      </w:pPr>
      <w:r>
        <w:t>wynagrodzenia i składki od nich naliczane – 4 089 109,14 zł, tj. 29,06% planu wynoszącego 14 070 420,27 zł, z tego: wynagrodzenia osobowe pracowników 1 488</w:t>
      </w:r>
      <w:r>
        <w:t> 490,71 zł, wynagrodzenia osobowe nauczycieli 1 167 632,07 zł, składki na ubezpieczenia społeczne 566 240,86 zł, dodatkowe wynagrodzenie roczne 400 031,65 zł, dodatkowe wynagrodzenie roczne nauczycieli 329 157,69 zł, składki na Fundusz Pracy oraz Fundusz S</w:t>
      </w:r>
      <w:r>
        <w:t xml:space="preserve">olidarnościowy 47 991,45 zł, wynagrodzenia nauczycieli wypłacane w związku z pomocą obywatelom Ukrainy 27 417,23 zł, wynagrodzenia bezosobowe 23 888,47 zł, wynagrodzenia agencyjno-prowizyjne 22 173,00 zł, składki i inne pochodne od wynagrodzeń pracowników </w:t>
      </w:r>
      <w:r>
        <w:t>wypłacanych w związku z pomocą obywatelom Ukrainy 6 038,53 zł, wynagrodzenia i uposażenia wypłacane w związku z pomocą obywatelom Ukrainy 5 730,20 zł, wpłaty na PPK finansowane przez podmiot zatrudniający 4 317,28 zł;</w:t>
      </w:r>
    </w:p>
    <w:p w:rsidR="006A3365" w:rsidRDefault="000321FF">
      <w:pPr>
        <w:pStyle w:val="Akapitzlist"/>
        <w:numPr>
          <w:ilvl w:val="1"/>
          <w:numId w:val="30"/>
        </w:numPr>
        <w:jc w:val="both"/>
      </w:pPr>
      <w:r>
        <w:t>świadczenia na rzecz osób fizycznych –</w:t>
      </w:r>
      <w:r>
        <w:t xml:space="preserve"> 677 807,30 zł, tj. 23,22% planu wynoszącego 2 919 211,89 zł, z tego: świadczenia społeczne 534 106,79 zł, wydatki osobowe niezaliczone do wynagrodzeń 73 050,09 zł, </w:t>
      </w:r>
      <w:r>
        <w:lastRenderedPageBreak/>
        <w:t>różne wydatki na rzecz osób fizycznych  55 879,10 zł, świadczenia związane z udzielaniem po</w:t>
      </w:r>
      <w:r>
        <w:t>mocy obywatelom Ukrainy 8 400,00 zł, świadczenia społeczne wypłacane obywatelom Ukrainy przebywającym na terytorium RP 6 371,32 zł;</w:t>
      </w:r>
    </w:p>
    <w:p w:rsidR="006A3365" w:rsidRDefault="000321FF">
      <w:pPr>
        <w:pStyle w:val="Akapitzlist"/>
        <w:numPr>
          <w:ilvl w:val="1"/>
          <w:numId w:val="30"/>
        </w:numPr>
        <w:jc w:val="both"/>
      </w:pPr>
      <w:r>
        <w:t>dotacje – 1 147 630,04 zł, tj. 29,30% planu wynoszącego 3 917 041,90 zł,</w:t>
      </w:r>
    </w:p>
    <w:p w:rsidR="006A3365" w:rsidRDefault="000321FF">
      <w:pPr>
        <w:pStyle w:val="Akapitzlist"/>
        <w:numPr>
          <w:ilvl w:val="1"/>
          <w:numId w:val="30"/>
        </w:numPr>
        <w:jc w:val="both"/>
      </w:pPr>
      <w:r>
        <w:t>wydatki na programy finansowane z udziałem środków,</w:t>
      </w:r>
      <w:r>
        <w:t xml:space="preserve"> o których mowa w art. 5 ust. 1 pkt 2, 3 – 54 548,38 zł, tj. 39,34% planu wynoszącego 138 659,40 zł,</w:t>
      </w:r>
    </w:p>
    <w:p w:rsidR="006A3365" w:rsidRDefault="000321FF">
      <w:pPr>
        <w:pStyle w:val="Akapitzlist"/>
        <w:numPr>
          <w:ilvl w:val="1"/>
          <w:numId w:val="30"/>
        </w:numPr>
        <w:jc w:val="both"/>
      </w:pPr>
      <w:r>
        <w:t>wypłaty z tytułu gwarancji i poręczeń – 0,00 zł, tj. 0,00% planu wynoszącego 200 000,00 zł,</w:t>
      </w:r>
    </w:p>
    <w:p w:rsidR="006A3365" w:rsidRDefault="000321FF">
      <w:pPr>
        <w:pStyle w:val="Akapitzlist"/>
        <w:numPr>
          <w:ilvl w:val="1"/>
          <w:numId w:val="30"/>
        </w:numPr>
        <w:jc w:val="both"/>
      </w:pPr>
      <w:r>
        <w:t>wydatki na obsługę długu publicznego – 49 168,33 zł, tj. 19,67%</w:t>
      </w:r>
      <w:r>
        <w:t xml:space="preserve"> planu wynoszącego 250 000,00 zł,</w:t>
      </w:r>
    </w:p>
    <w:p w:rsidR="006A3365" w:rsidRDefault="000321FF">
      <w:pPr>
        <w:pStyle w:val="Akapitzlist"/>
        <w:numPr>
          <w:ilvl w:val="1"/>
          <w:numId w:val="30"/>
        </w:numPr>
        <w:jc w:val="both"/>
      </w:pPr>
      <w:r>
        <w:t xml:space="preserve">pozostałe wydatki bieżące – 3 067 655,36 zł, tj. 27,74% planu wynoszącego 11 057 235,92 zł, z tego: zakup materiałów i wyposażenia 1 242 375,78 zł, zakup usług pozostałych 928 605,09 zł, zakup energii 338 804,02 zł, zakup </w:t>
      </w:r>
      <w:r>
        <w:t>usług przez jednostki samorządu terytorialnego od innych jednostek samorządu terytorialnego 255 452,54 zł, odpisy na zakładowy fundusz świadczeń socjalnych 169 438,43 zł, zakup środków żywności 42 796,82 zł, opłaty z tytułu zakupu usług telekomunikacyjnych</w:t>
      </w:r>
      <w:r>
        <w:t xml:space="preserve"> 15 306,61 zł, różne opłaty i składki 15 097,52 zł, szkolenia pracowników niebędących członkami korpusu służby cywilnej  14 462,50 zł, wpłaty na Państwowy Fundusz Rehabilitacji Osób Niepełnosprawnych 13 989,00 zł, opłaty za administrowanie i czynsze za bud</w:t>
      </w:r>
      <w:r>
        <w:t>ynki, lokale i pomieszczenia garażowe 7 446,82 zł, składki na ubezpieczenie zdrowotne 6 806,34 zł, zwrot dotacji oraz płatności wykorzystanych niezgodnie z przeznaczeniem lub wykorzystanych z naruszeniem procedur, o których mowa w art. 184 ustawy, pobranyc</w:t>
      </w:r>
      <w:r>
        <w:t>h nienależnie lub w nadmiernej wysokości 4 680,56 zł, zakup usług remontowych 3 432,45 zł, podróże służbowe krajowe 3 118,15 zł, zakup usług zdrowotnych 2 105,00 zł, zakup środków dydaktycznych i książek 2 013,46 zł, wpłaty gmin na rzecz izb rolniczych w w</w:t>
      </w:r>
      <w:r>
        <w:t>ysokości 2% uzyskanych wpływów z podatku rolnego 1 056,85 zł, koszty postępowania sądowego i prokuratorskiego 510,21 zł, odsetki od dotacji oraz płatności: wykorzystanych niezgodnie z przeznaczeniem lub wykorzystanych z naruszeniem procedur, o których mowa</w:t>
      </w:r>
      <w:r>
        <w:t xml:space="preserve"> w art. 184 ustawy, pobranych nienależnie lub  w nadmiernej wysokości 152,57 zł, zwrot niewykorzystanych dotacji oraz płatności 4,64 zł;</w:t>
      </w:r>
    </w:p>
    <w:p w:rsidR="006A3365" w:rsidRDefault="000321FF">
      <w:pPr>
        <w:pStyle w:val="Akapitzlist"/>
        <w:numPr>
          <w:ilvl w:val="0"/>
          <w:numId w:val="30"/>
        </w:numPr>
        <w:jc w:val="both"/>
      </w:pPr>
      <w:r>
        <w:t>wydatki majątkowe zostały wykonane na poziomie 1 241 739,74 zł, tj. w 7,46% w stosunku do planu po zmianach wynoszącego</w:t>
      </w:r>
      <w:r>
        <w:t xml:space="preserve"> 16 635 391,44 zł, z tego:</w:t>
      </w:r>
    </w:p>
    <w:p w:rsidR="006A3365" w:rsidRDefault="000321FF">
      <w:pPr>
        <w:pStyle w:val="Akapitzlist"/>
        <w:numPr>
          <w:ilvl w:val="1"/>
          <w:numId w:val="30"/>
        </w:numPr>
        <w:jc w:val="both"/>
      </w:pPr>
      <w:r>
        <w:t>wydatki inwestycyjne i zakupy inwestycyjne – 1 241 739,74 zł, tj. 7,46% planu wynoszącego 16 635 391,44 zł,</w:t>
      </w:r>
    </w:p>
    <w:p w:rsidR="006A3365" w:rsidRDefault="000321FF">
      <w:pPr>
        <w:pStyle w:val="SmallSubtitle"/>
      </w:pPr>
      <w:r>
        <w:t>Przychody i rozchody</w:t>
      </w:r>
    </w:p>
    <w:p w:rsidR="006A3365" w:rsidRDefault="000321FF">
      <w:pPr>
        <w:jc w:val="both"/>
      </w:pPr>
      <w:r>
        <w:t xml:space="preserve">Przychody w pierwszym kwartale 2023 roku zrealizowano w łącznej kwocie 7 754 595,09 zł, (co stanowi </w:t>
      </w:r>
      <w:r>
        <w:t>78,20% planu), w tym:</w:t>
      </w:r>
    </w:p>
    <w:p w:rsidR="006A3365" w:rsidRDefault="000321FF">
      <w:pPr>
        <w:pStyle w:val="Akapitzlist"/>
        <w:numPr>
          <w:ilvl w:val="0"/>
          <w:numId w:val="31"/>
        </w:numPr>
        <w:jc w:val="both"/>
      </w:pPr>
      <w:r>
        <w:t xml:space="preserve">niewykorzystane środki pieniężne, o których mowa w art. 217 ust. 2 </w:t>
      </w:r>
      <w:r w:rsidR="00194A1D">
        <w:t>pkt.</w:t>
      </w:r>
      <w:r>
        <w:t xml:space="preserve"> 8 ustawy o finansach publicznych – 454 433,80 zł;</w:t>
      </w:r>
    </w:p>
    <w:p w:rsidR="006A3365" w:rsidRDefault="000321FF">
      <w:pPr>
        <w:pStyle w:val="Akapitzlist"/>
        <w:numPr>
          <w:ilvl w:val="0"/>
          <w:numId w:val="31"/>
        </w:numPr>
        <w:jc w:val="both"/>
      </w:pPr>
      <w:r>
        <w:t xml:space="preserve">wolne środki, o których mowa w art. 217 ust. 2 </w:t>
      </w:r>
      <w:r w:rsidR="00194A1D">
        <w:t>pkt.</w:t>
      </w:r>
      <w:r>
        <w:t xml:space="preserve"> 6 ustawy o finansach publicznych – 7 300 161,29 zł.</w:t>
      </w:r>
    </w:p>
    <w:p w:rsidR="006A3365" w:rsidRDefault="000321FF">
      <w:pPr>
        <w:jc w:val="both"/>
      </w:pPr>
      <w:r>
        <w:t>Rozchody w</w:t>
      </w:r>
      <w:r>
        <w:t xml:space="preserve"> pierwszym kwartale 2023 roku zrealizowano w łącznej kwocie 208 447,59 zł (co stanowi 20,16% planu), w tym:</w:t>
      </w:r>
    </w:p>
    <w:p w:rsidR="006A3365" w:rsidRDefault="000321FF">
      <w:pPr>
        <w:pStyle w:val="Akapitzlist"/>
        <w:numPr>
          <w:ilvl w:val="0"/>
          <w:numId w:val="32"/>
        </w:numPr>
        <w:jc w:val="both"/>
      </w:pPr>
      <w:r>
        <w:t>Spłaty kredytów i pożyczek, wykup papierów wartościowych – 208 447,59 zł.</w:t>
      </w:r>
    </w:p>
    <w:sectPr w:rsidR="006A3365" w:rsidSect="006A3365">
      <w:footerReference w:type="even" r:id="rId8"/>
      <w:footerReference w:type="default" r:id="rId9"/>
      <w:footerReference w:type="first" r:id="rId10"/>
      <w:pgSz w:w="11906" w:h="16838"/>
      <w:pgMar w:top="992" w:right="1021" w:bottom="992" w:left="1021" w:header="709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FF" w:rsidRDefault="000321FF">
      <w:pPr>
        <w:spacing w:after="0" w:line="240" w:lineRule="auto"/>
      </w:pPr>
      <w:r>
        <w:separator/>
      </w:r>
    </w:p>
  </w:endnote>
  <w:endnote w:type="continuationSeparator" w:id="1">
    <w:p w:rsidR="000321FF" w:rsidRDefault="0003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65" w:rsidRDefault="006A3365">
    <w:pPr>
      <w:pStyle w:val="Footer"/>
      <w:jc w:val="center"/>
    </w:pPr>
    <w:r>
      <w:fldChar w:fldCharType="begin"/>
    </w:r>
    <w:r w:rsidR="000321FF">
      <w:instrText>PAGE   \* MERGEFORMAT</w:instrText>
    </w:r>
    <w:r>
      <w:fldChar w:fldCharType="separate"/>
    </w:r>
    <w:r w:rsidR="00194A1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65" w:rsidRDefault="006A3365">
    <w:pPr>
      <w:pStyle w:val="Footer"/>
      <w:jc w:val="center"/>
    </w:pPr>
    <w:r>
      <w:fldChar w:fldCharType="begin"/>
    </w:r>
    <w:r w:rsidR="000321FF">
      <w:instrText xml:space="preserve">PAGE   </w:instrText>
    </w:r>
    <w:r w:rsidR="000321FF">
      <w:instrText>\* MERGEFORMAT</w:instrText>
    </w:r>
    <w:r>
      <w:fldChar w:fldCharType="separate"/>
    </w:r>
    <w:r w:rsidR="00194A1D">
      <w:rPr>
        <w:noProof/>
      </w:rPr>
      <w:t>5</w:t>
    </w:r>
    <w:r>
      <w:fldChar w:fldCharType="end"/>
    </w:r>
  </w:p>
  <w:p w:rsidR="006A3365" w:rsidRDefault="006A3365">
    <w:pPr>
      <w:pStyle w:val="Footer"/>
      <w:ind w:left="-567"/>
      <w:jc w:val="right"/>
      <w:rPr>
        <w:vanish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65" w:rsidRDefault="006A3365">
    <w:pPr>
      <w:pStyle w:val="Footer"/>
      <w:ind w:left="-567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FF" w:rsidRDefault="000321FF">
      <w:pPr>
        <w:spacing w:after="0" w:line="240" w:lineRule="auto"/>
      </w:pPr>
      <w:r>
        <w:separator/>
      </w:r>
    </w:p>
  </w:footnote>
  <w:footnote w:type="continuationSeparator" w:id="1">
    <w:p w:rsidR="000321FF" w:rsidRDefault="0003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76B"/>
    <w:multiLevelType w:val="multilevel"/>
    <w:tmpl w:val="ED520E8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3B28C5"/>
    <w:multiLevelType w:val="hybridMultilevel"/>
    <w:tmpl w:val="C2EC6336"/>
    <w:lvl w:ilvl="0" w:tplc="6EE47C50">
      <w:start w:val="1"/>
      <w:numFmt w:val="bullet"/>
      <w:lvlText w:val="●"/>
      <w:lvlJc w:val="left"/>
      <w:pPr>
        <w:ind w:left="600" w:hanging="360"/>
      </w:pPr>
    </w:lvl>
    <w:lvl w:ilvl="1" w:tplc="89E48936">
      <w:start w:val="1"/>
      <w:numFmt w:val="bullet"/>
      <w:lvlText w:val="○"/>
      <w:lvlJc w:val="left"/>
      <w:pPr>
        <w:ind w:left="1200" w:hanging="360"/>
      </w:pPr>
    </w:lvl>
    <w:lvl w:ilvl="2" w:tplc="67D00636">
      <w:start w:val="1"/>
      <w:numFmt w:val="bullet"/>
      <w:lvlText w:val="⁃"/>
      <w:lvlJc w:val="left"/>
      <w:pPr>
        <w:ind w:left="1800" w:hanging="360"/>
      </w:pPr>
    </w:lvl>
    <w:lvl w:ilvl="3" w:tplc="9A94A196">
      <w:numFmt w:val="none"/>
      <w:lvlText w:val=""/>
      <w:lvlJc w:val="left"/>
      <w:pPr>
        <w:tabs>
          <w:tab w:val="num" w:pos="360"/>
        </w:tabs>
      </w:pPr>
    </w:lvl>
    <w:lvl w:ilvl="4" w:tplc="A8902606">
      <w:numFmt w:val="none"/>
      <w:lvlText w:val=""/>
      <w:lvlJc w:val="left"/>
      <w:pPr>
        <w:tabs>
          <w:tab w:val="num" w:pos="360"/>
        </w:tabs>
      </w:pPr>
    </w:lvl>
    <w:lvl w:ilvl="5" w:tplc="02805F20">
      <w:numFmt w:val="none"/>
      <w:lvlText w:val=""/>
      <w:lvlJc w:val="left"/>
      <w:pPr>
        <w:tabs>
          <w:tab w:val="num" w:pos="360"/>
        </w:tabs>
      </w:pPr>
    </w:lvl>
    <w:lvl w:ilvl="6" w:tplc="D742790A">
      <w:numFmt w:val="none"/>
      <w:lvlText w:val=""/>
      <w:lvlJc w:val="left"/>
      <w:pPr>
        <w:tabs>
          <w:tab w:val="num" w:pos="360"/>
        </w:tabs>
      </w:pPr>
    </w:lvl>
    <w:lvl w:ilvl="7" w:tplc="F4B6A2DE">
      <w:numFmt w:val="none"/>
      <w:lvlText w:val=""/>
      <w:lvlJc w:val="left"/>
      <w:pPr>
        <w:tabs>
          <w:tab w:val="num" w:pos="360"/>
        </w:tabs>
      </w:pPr>
    </w:lvl>
    <w:lvl w:ilvl="8" w:tplc="8C4EF5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223B36"/>
    <w:multiLevelType w:val="hybridMultilevel"/>
    <w:tmpl w:val="F052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C0C39"/>
    <w:multiLevelType w:val="hybridMultilevel"/>
    <w:tmpl w:val="8F0E711C"/>
    <w:lvl w:ilvl="0" w:tplc="C46053A6">
      <w:start w:val="1"/>
      <w:numFmt w:val="bullet"/>
      <w:lvlText w:val="●"/>
      <w:lvlJc w:val="left"/>
      <w:pPr>
        <w:ind w:left="600" w:hanging="360"/>
      </w:pPr>
    </w:lvl>
    <w:lvl w:ilvl="1" w:tplc="77624ED6">
      <w:start w:val="1"/>
      <w:numFmt w:val="bullet"/>
      <w:lvlText w:val="○"/>
      <w:lvlJc w:val="left"/>
      <w:pPr>
        <w:ind w:left="1200" w:hanging="360"/>
      </w:pPr>
    </w:lvl>
    <w:lvl w:ilvl="2" w:tplc="CB02A8F8">
      <w:start w:val="1"/>
      <w:numFmt w:val="bullet"/>
      <w:lvlText w:val="⁃"/>
      <w:lvlJc w:val="left"/>
      <w:pPr>
        <w:ind w:left="1800" w:hanging="360"/>
      </w:pPr>
    </w:lvl>
    <w:lvl w:ilvl="3" w:tplc="9D068BA2">
      <w:numFmt w:val="none"/>
      <w:lvlText w:val=""/>
      <w:lvlJc w:val="left"/>
      <w:pPr>
        <w:tabs>
          <w:tab w:val="num" w:pos="360"/>
        </w:tabs>
      </w:pPr>
    </w:lvl>
    <w:lvl w:ilvl="4" w:tplc="5C3CC10E">
      <w:numFmt w:val="none"/>
      <w:lvlText w:val=""/>
      <w:lvlJc w:val="left"/>
      <w:pPr>
        <w:tabs>
          <w:tab w:val="num" w:pos="360"/>
        </w:tabs>
      </w:pPr>
    </w:lvl>
    <w:lvl w:ilvl="5" w:tplc="E50E07F4">
      <w:numFmt w:val="none"/>
      <w:lvlText w:val=""/>
      <w:lvlJc w:val="left"/>
      <w:pPr>
        <w:tabs>
          <w:tab w:val="num" w:pos="360"/>
        </w:tabs>
      </w:pPr>
    </w:lvl>
    <w:lvl w:ilvl="6" w:tplc="698A2E26">
      <w:numFmt w:val="none"/>
      <w:lvlText w:val=""/>
      <w:lvlJc w:val="left"/>
      <w:pPr>
        <w:tabs>
          <w:tab w:val="num" w:pos="360"/>
        </w:tabs>
      </w:pPr>
    </w:lvl>
    <w:lvl w:ilvl="7" w:tplc="CFD230F4">
      <w:numFmt w:val="none"/>
      <w:lvlText w:val=""/>
      <w:lvlJc w:val="left"/>
      <w:pPr>
        <w:tabs>
          <w:tab w:val="num" w:pos="360"/>
        </w:tabs>
      </w:pPr>
    </w:lvl>
    <w:lvl w:ilvl="8" w:tplc="586A590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83995"/>
    <w:multiLevelType w:val="hybridMultilevel"/>
    <w:tmpl w:val="6596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1982"/>
    <w:multiLevelType w:val="hybridMultilevel"/>
    <w:tmpl w:val="E668B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3249D"/>
    <w:multiLevelType w:val="hybridMultilevel"/>
    <w:tmpl w:val="EB0CE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17914"/>
    <w:multiLevelType w:val="multilevel"/>
    <w:tmpl w:val="3692FB0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1B43031C"/>
    <w:multiLevelType w:val="hybridMultilevel"/>
    <w:tmpl w:val="725CC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3732"/>
    <w:multiLevelType w:val="hybridMultilevel"/>
    <w:tmpl w:val="6996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8D00F"/>
    <w:multiLevelType w:val="hybridMultilevel"/>
    <w:tmpl w:val="F33AB954"/>
    <w:lvl w:ilvl="0" w:tplc="74DED5C4">
      <w:start w:val="1"/>
      <w:numFmt w:val="bullet"/>
      <w:lvlText w:val="●"/>
      <w:lvlJc w:val="left"/>
      <w:pPr>
        <w:ind w:left="600" w:hanging="360"/>
      </w:pPr>
    </w:lvl>
    <w:lvl w:ilvl="1" w:tplc="68C85316">
      <w:start w:val="1"/>
      <w:numFmt w:val="bullet"/>
      <w:lvlText w:val="○"/>
      <w:lvlJc w:val="left"/>
      <w:pPr>
        <w:ind w:left="1200" w:hanging="360"/>
      </w:pPr>
    </w:lvl>
    <w:lvl w:ilvl="2" w:tplc="0B0AF5B2">
      <w:start w:val="1"/>
      <w:numFmt w:val="bullet"/>
      <w:lvlText w:val="⁃"/>
      <w:lvlJc w:val="left"/>
      <w:pPr>
        <w:ind w:left="1800" w:hanging="360"/>
      </w:pPr>
    </w:lvl>
    <w:lvl w:ilvl="3" w:tplc="419A2852">
      <w:numFmt w:val="none"/>
      <w:lvlText w:val=""/>
      <w:lvlJc w:val="left"/>
      <w:pPr>
        <w:tabs>
          <w:tab w:val="num" w:pos="360"/>
        </w:tabs>
      </w:pPr>
    </w:lvl>
    <w:lvl w:ilvl="4" w:tplc="485A255A">
      <w:numFmt w:val="none"/>
      <w:lvlText w:val=""/>
      <w:lvlJc w:val="left"/>
      <w:pPr>
        <w:tabs>
          <w:tab w:val="num" w:pos="360"/>
        </w:tabs>
      </w:pPr>
    </w:lvl>
    <w:lvl w:ilvl="5" w:tplc="66CAE432">
      <w:numFmt w:val="none"/>
      <w:lvlText w:val=""/>
      <w:lvlJc w:val="left"/>
      <w:pPr>
        <w:tabs>
          <w:tab w:val="num" w:pos="360"/>
        </w:tabs>
      </w:pPr>
    </w:lvl>
    <w:lvl w:ilvl="6" w:tplc="D7D8129C">
      <w:numFmt w:val="none"/>
      <w:lvlText w:val=""/>
      <w:lvlJc w:val="left"/>
      <w:pPr>
        <w:tabs>
          <w:tab w:val="num" w:pos="360"/>
        </w:tabs>
      </w:pPr>
    </w:lvl>
    <w:lvl w:ilvl="7" w:tplc="6F300016">
      <w:numFmt w:val="none"/>
      <w:lvlText w:val=""/>
      <w:lvlJc w:val="left"/>
      <w:pPr>
        <w:tabs>
          <w:tab w:val="num" w:pos="360"/>
        </w:tabs>
      </w:pPr>
    </w:lvl>
    <w:lvl w:ilvl="8" w:tplc="93FEFBF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4BB7D8"/>
    <w:multiLevelType w:val="hybridMultilevel"/>
    <w:tmpl w:val="DC180A92"/>
    <w:lvl w:ilvl="0" w:tplc="C726ACB6">
      <w:start w:val="1"/>
      <w:numFmt w:val="bullet"/>
      <w:lvlText w:val="●"/>
      <w:lvlJc w:val="left"/>
      <w:pPr>
        <w:ind w:left="600" w:hanging="360"/>
      </w:pPr>
    </w:lvl>
    <w:lvl w:ilvl="1" w:tplc="3E4659AC">
      <w:start w:val="1"/>
      <w:numFmt w:val="bullet"/>
      <w:lvlText w:val="○"/>
      <w:lvlJc w:val="left"/>
      <w:pPr>
        <w:ind w:left="1200" w:hanging="360"/>
      </w:pPr>
    </w:lvl>
    <w:lvl w:ilvl="2" w:tplc="6F7C8372">
      <w:start w:val="1"/>
      <w:numFmt w:val="bullet"/>
      <w:lvlText w:val="⁃"/>
      <w:lvlJc w:val="left"/>
      <w:pPr>
        <w:ind w:left="1800" w:hanging="360"/>
      </w:pPr>
    </w:lvl>
    <w:lvl w:ilvl="3" w:tplc="3E92F642">
      <w:numFmt w:val="none"/>
      <w:lvlText w:val=""/>
      <w:lvlJc w:val="left"/>
      <w:pPr>
        <w:tabs>
          <w:tab w:val="num" w:pos="360"/>
        </w:tabs>
      </w:pPr>
    </w:lvl>
    <w:lvl w:ilvl="4" w:tplc="D488202E">
      <w:numFmt w:val="none"/>
      <w:lvlText w:val=""/>
      <w:lvlJc w:val="left"/>
      <w:pPr>
        <w:tabs>
          <w:tab w:val="num" w:pos="360"/>
        </w:tabs>
      </w:pPr>
    </w:lvl>
    <w:lvl w:ilvl="5" w:tplc="03B21636">
      <w:numFmt w:val="none"/>
      <w:lvlText w:val=""/>
      <w:lvlJc w:val="left"/>
      <w:pPr>
        <w:tabs>
          <w:tab w:val="num" w:pos="360"/>
        </w:tabs>
      </w:pPr>
    </w:lvl>
    <w:lvl w:ilvl="6" w:tplc="9B50F330">
      <w:numFmt w:val="none"/>
      <w:lvlText w:val=""/>
      <w:lvlJc w:val="left"/>
      <w:pPr>
        <w:tabs>
          <w:tab w:val="num" w:pos="360"/>
        </w:tabs>
      </w:pPr>
    </w:lvl>
    <w:lvl w:ilvl="7" w:tplc="15B636C8">
      <w:numFmt w:val="none"/>
      <w:lvlText w:val=""/>
      <w:lvlJc w:val="left"/>
      <w:pPr>
        <w:tabs>
          <w:tab w:val="num" w:pos="360"/>
        </w:tabs>
      </w:pPr>
    </w:lvl>
    <w:lvl w:ilvl="8" w:tplc="F67A603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3B7B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53D6AC4"/>
    <w:multiLevelType w:val="multilevel"/>
    <w:tmpl w:val="EAA69DD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457C677D"/>
    <w:multiLevelType w:val="hybridMultilevel"/>
    <w:tmpl w:val="FEA4A304"/>
    <w:lvl w:ilvl="0" w:tplc="CBD8A3CE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10A42"/>
    <w:multiLevelType w:val="multilevel"/>
    <w:tmpl w:val="B194E8E6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0" w:firstLine="0"/>
      </w:pPr>
    </w:lvl>
    <w:lvl w:ilvl="3">
      <w:start w:val="1"/>
      <w:numFmt w:val="decimal"/>
      <w:pStyle w:val="Styl3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FEEA3C"/>
    <w:multiLevelType w:val="hybridMultilevel"/>
    <w:tmpl w:val="91165AF2"/>
    <w:lvl w:ilvl="0" w:tplc="6DB88828">
      <w:start w:val="1"/>
      <w:numFmt w:val="bullet"/>
      <w:lvlText w:val="●"/>
      <w:lvlJc w:val="left"/>
      <w:pPr>
        <w:ind w:left="600" w:hanging="360"/>
      </w:pPr>
    </w:lvl>
    <w:lvl w:ilvl="1" w:tplc="CD2A37F6">
      <w:start w:val="1"/>
      <w:numFmt w:val="bullet"/>
      <w:lvlText w:val="○"/>
      <w:lvlJc w:val="left"/>
      <w:pPr>
        <w:ind w:left="1200" w:hanging="360"/>
      </w:pPr>
    </w:lvl>
    <w:lvl w:ilvl="2" w:tplc="3C0C1A5E">
      <w:start w:val="1"/>
      <w:numFmt w:val="bullet"/>
      <w:lvlText w:val="⁃"/>
      <w:lvlJc w:val="left"/>
      <w:pPr>
        <w:ind w:left="1800" w:hanging="360"/>
      </w:pPr>
    </w:lvl>
    <w:lvl w:ilvl="3" w:tplc="E0A84508">
      <w:numFmt w:val="none"/>
      <w:lvlText w:val=""/>
      <w:lvlJc w:val="left"/>
      <w:pPr>
        <w:tabs>
          <w:tab w:val="num" w:pos="360"/>
        </w:tabs>
      </w:pPr>
    </w:lvl>
    <w:lvl w:ilvl="4" w:tplc="D2CA07F6">
      <w:numFmt w:val="none"/>
      <w:lvlText w:val=""/>
      <w:lvlJc w:val="left"/>
      <w:pPr>
        <w:tabs>
          <w:tab w:val="num" w:pos="360"/>
        </w:tabs>
      </w:pPr>
    </w:lvl>
    <w:lvl w:ilvl="5" w:tplc="BDA8826E">
      <w:numFmt w:val="none"/>
      <w:lvlText w:val=""/>
      <w:lvlJc w:val="left"/>
      <w:pPr>
        <w:tabs>
          <w:tab w:val="num" w:pos="360"/>
        </w:tabs>
      </w:pPr>
    </w:lvl>
    <w:lvl w:ilvl="6" w:tplc="3AF40DD6">
      <w:numFmt w:val="none"/>
      <w:lvlText w:val=""/>
      <w:lvlJc w:val="left"/>
      <w:pPr>
        <w:tabs>
          <w:tab w:val="num" w:pos="360"/>
        </w:tabs>
      </w:pPr>
    </w:lvl>
    <w:lvl w:ilvl="7" w:tplc="1938EEC0">
      <w:numFmt w:val="none"/>
      <w:lvlText w:val=""/>
      <w:lvlJc w:val="left"/>
      <w:pPr>
        <w:tabs>
          <w:tab w:val="num" w:pos="360"/>
        </w:tabs>
      </w:pPr>
    </w:lvl>
    <w:lvl w:ilvl="8" w:tplc="FE7EB10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B5A4672"/>
    <w:multiLevelType w:val="hybridMultilevel"/>
    <w:tmpl w:val="F91C58BE"/>
    <w:lvl w:ilvl="0" w:tplc="E18A2AE4">
      <w:start w:val="1"/>
      <w:numFmt w:val="bullet"/>
      <w:lvlText w:val="●"/>
      <w:lvlJc w:val="left"/>
      <w:pPr>
        <w:ind w:left="600" w:hanging="360"/>
      </w:pPr>
    </w:lvl>
    <w:lvl w:ilvl="1" w:tplc="B60C5B98">
      <w:start w:val="1"/>
      <w:numFmt w:val="bullet"/>
      <w:lvlText w:val="○"/>
      <w:lvlJc w:val="left"/>
      <w:pPr>
        <w:ind w:left="1200" w:hanging="360"/>
      </w:pPr>
    </w:lvl>
    <w:lvl w:ilvl="2" w:tplc="6DE8B882">
      <w:start w:val="1"/>
      <w:numFmt w:val="bullet"/>
      <w:lvlText w:val="⁃"/>
      <w:lvlJc w:val="left"/>
      <w:pPr>
        <w:ind w:left="1800" w:hanging="360"/>
      </w:pPr>
    </w:lvl>
    <w:lvl w:ilvl="3" w:tplc="059EEEF6">
      <w:numFmt w:val="none"/>
      <w:lvlText w:val=""/>
      <w:lvlJc w:val="left"/>
      <w:pPr>
        <w:tabs>
          <w:tab w:val="num" w:pos="360"/>
        </w:tabs>
      </w:pPr>
    </w:lvl>
    <w:lvl w:ilvl="4" w:tplc="F7CCDA20">
      <w:numFmt w:val="none"/>
      <w:lvlText w:val=""/>
      <w:lvlJc w:val="left"/>
      <w:pPr>
        <w:tabs>
          <w:tab w:val="num" w:pos="360"/>
        </w:tabs>
      </w:pPr>
    </w:lvl>
    <w:lvl w:ilvl="5" w:tplc="7FCC4792">
      <w:numFmt w:val="none"/>
      <w:lvlText w:val=""/>
      <w:lvlJc w:val="left"/>
      <w:pPr>
        <w:tabs>
          <w:tab w:val="num" w:pos="360"/>
        </w:tabs>
      </w:pPr>
    </w:lvl>
    <w:lvl w:ilvl="6" w:tplc="3050FA6E">
      <w:numFmt w:val="none"/>
      <w:lvlText w:val=""/>
      <w:lvlJc w:val="left"/>
      <w:pPr>
        <w:tabs>
          <w:tab w:val="num" w:pos="360"/>
        </w:tabs>
      </w:pPr>
    </w:lvl>
    <w:lvl w:ilvl="7" w:tplc="1ADA8190">
      <w:numFmt w:val="none"/>
      <w:lvlText w:val=""/>
      <w:lvlJc w:val="left"/>
      <w:pPr>
        <w:tabs>
          <w:tab w:val="num" w:pos="360"/>
        </w:tabs>
      </w:pPr>
    </w:lvl>
    <w:lvl w:ilvl="8" w:tplc="CEA6306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A69D46"/>
    <w:multiLevelType w:val="hybridMultilevel"/>
    <w:tmpl w:val="1CF4063E"/>
    <w:lvl w:ilvl="0" w:tplc="E2B84B04">
      <w:start w:val="1"/>
      <w:numFmt w:val="bullet"/>
      <w:lvlText w:val="●"/>
      <w:lvlJc w:val="left"/>
      <w:pPr>
        <w:ind w:left="600" w:hanging="360"/>
      </w:pPr>
    </w:lvl>
    <w:lvl w:ilvl="1" w:tplc="5832EA98">
      <w:start w:val="1"/>
      <w:numFmt w:val="bullet"/>
      <w:lvlText w:val="○"/>
      <w:lvlJc w:val="left"/>
      <w:pPr>
        <w:ind w:left="1200" w:hanging="360"/>
      </w:pPr>
    </w:lvl>
    <w:lvl w:ilvl="2" w:tplc="4A6A2568">
      <w:start w:val="1"/>
      <w:numFmt w:val="bullet"/>
      <w:lvlText w:val="⁃"/>
      <w:lvlJc w:val="left"/>
      <w:pPr>
        <w:ind w:left="1800" w:hanging="360"/>
      </w:pPr>
    </w:lvl>
    <w:lvl w:ilvl="3" w:tplc="93D4A782">
      <w:numFmt w:val="none"/>
      <w:lvlText w:val=""/>
      <w:lvlJc w:val="left"/>
      <w:pPr>
        <w:tabs>
          <w:tab w:val="num" w:pos="360"/>
        </w:tabs>
      </w:pPr>
    </w:lvl>
    <w:lvl w:ilvl="4" w:tplc="C1F8CCAA">
      <w:numFmt w:val="none"/>
      <w:lvlText w:val=""/>
      <w:lvlJc w:val="left"/>
      <w:pPr>
        <w:tabs>
          <w:tab w:val="num" w:pos="360"/>
        </w:tabs>
      </w:pPr>
    </w:lvl>
    <w:lvl w:ilvl="5" w:tplc="2BD603F4">
      <w:numFmt w:val="none"/>
      <w:lvlText w:val=""/>
      <w:lvlJc w:val="left"/>
      <w:pPr>
        <w:tabs>
          <w:tab w:val="num" w:pos="360"/>
        </w:tabs>
      </w:pPr>
    </w:lvl>
    <w:lvl w:ilvl="6" w:tplc="029C6206">
      <w:numFmt w:val="none"/>
      <w:lvlText w:val=""/>
      <w:lvlJc w:val="left"/>
      <w:pPr>
        <w:tabs>
          <w:tab w:val="num" w:pos="360"/>
        </w:tabs>
      </w:pPr>
    </w:lvl>
    <w:lvl w:ilvl="7" w:tplc="1FFC68EC">
      <w:numFmt w:val="none"/>
      <w:lvlText w:val=""/>
      <w:lvlJc w:val="left"/>
      <w:pPr>
        <w:tabs>
          <w:tab w:val="num" w:pos="360"/>
        </w:tabs>
      </w:pPr>
    </w:lvl>
    <w:lvl w:ilvl="8" w:tplc="B60434F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57E19A3"/>
    <w:multiLevelType w:val="multilevel"/>
    <w:tmpl w:val="651A1A9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627A925C"/>
    <w:multiLevelType w:val="hybridMultilevel"/>
    <w:tmpl w:val="662ABBCC"/>
    <w:lvl w:ilvl="0" w:tplc="12F6DDB6">
      <w:start w:val="1"/>
      <w:numFmt w:val="bullet"/>
      <w:lvlText w:val="●"/>
      <w:lvlJc w:val="left"/>
      <w:pPr>
        <w:ind w:left="600" w:hanging="360"/>
      </w:pPr>
    </w:lvl>
    <w:lvl w:ilvl="1" w:tplc="34BC7F88">
      <w:start w:val="1"/>
      <w:numFmt w:val="bullet"/>
      <w:lvlText w:val="○"/>
      <w:lvlJc w:val="left"/>
      <w:pPr>
        <w:ind w:left="1200" w:hanging="360"/>
      </w:pPr>
    </w:lvl>
    <w:lvl w:ilvl="2" w:tplc="E83A9914">
      <w:start w:val="1"/>
      <w:numFmt w:val="bullet"/>
      <w:lvlText w:val="⁃"/>
      <w:lvlJc w:val="left"/>
      <w:pPr>
        <w:ind w:left="1800" w:hanging="360"/>
      </w:pPr>
    </w:lvl>
    <w:lvl w:ilvl="3" w:tplc="30767954">
      <w:numFmt w:val="none"/>
      <w:lvlText w:val=""/>
      <w:lvlJc w:val="left"/>
      <w:pPr>
        <w:tabs>
          <w:tab w:val="num" w:pos="360"/>
        </w:tabs>
      </w:pPr>
    </w:lvl>
    <w:lvl w:ilvl="4" w:tplc="FA3C73C0">
      <w:numFmt w:val="none"/>
      <w:lvlText w:val=""/>
      <w:lvlJc w:val="left"/>
      <w:pPr>
        <w:tabs>
          <w:tab w:val="num" w:pos="360"/>
        </w:tabs>
      </w:pPr>
    </w:lvl>
    <w:lvl w:ilvl="5" w:tplc="0456B72A">
      <w:numFmt w:val="none"/>
      <w:lvlText w:val=""/>
      <w:lvlJc w:val="left"/>
      <w:pPr>
        <w:tabs>
          <w:tab w:val="num" w:pos="360"/>
        </w:tabs>
      </w:pPr>
    </w:lvl>
    <w:lvl w:ilvl="6" w:tplc="3FD08EE2">
      <w:numFmt w:val="none"/>
      <w:lvlText w:val=""/>
      <w:lvlJc w:val="left"/>
      <w:pPr>
        <w:tabs>
          <w:tab w:val="num" w:pos="360"/>
        </w:tabs>
      </w:pPr>
    </w:lvl>
    <w:lvl w:ilvl="7" w:tplc="F9F2579C">
      <w:numFmt w:val="none"/>
      <w:lvlText w:val=""/>
      <w:lvlJc w:val="left"/>
      <w:pPr>
        <w:tabs>
          <w:tab w:val="num" w:pos="360"/>
        </w:tabs>
      </w:pPr>
    </w:lvl>
    <w:lvl w:ilvl="8" w:tplc="8A0C848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3DB04CC"/>
    <w:multiLevelType w:val="hybridMultilevel"/>
    <w:tmpl w:val="B50C0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718CE"/>
    <w:multiLevelType w:val="multilevel"/>
    <w:tmpl w:val="989C428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7CAFE4E"/>
    <w:multiLevelType w:val="hybridMultilevel"/>
    <w:tmpl w:val="FFEEFB7C"/>
    <w:lvl w:ilvl="0" w:tplc="4A808BDA">
      <w:start w:val="1"/>
      <w:numFmt w:val="bullet"/>
      <w:lvlText w:val="●"/>
      <w:lvlJc w:val="left"/>
      <w:pPr>
        <w:ind w:left="600" w:hanging="360"/>
      </w:pPr>
    </w:lvl>
    <w:lvl w:ilvl="1" w:tplc="BBDA1008">
      <w:start w:val="1"/>
      <w:numFmt w:val="bullet"/>
      <w:lvlText w:val="○"/>
      <w:lvlJc w:val="left"/>
      <w:pPr>
        <w:ind w:left="1200" w:hanging="360"/>
      </w:pPr>
    </w:lvl>
    <w:lvl w:ilvl="2" w:tplc="55028F06">
      <w:start w:val="1"/>
      <w:numFmt w:val="bullet"/>
      <w:lvlText w:val="⁃"/>
      <w:lvlJc w:val="left"/>
      <w:pPr>
        <w:ind w:left="1800" w:hanging="360"/>
      </w:pPr>
    </w:lvl>
    <w:lvl w:ilvl="3" w:tplc="861A0F7E">
      <w:numFmt w:val="none"/>
      <w:lvlText w:val=""/>
      <w:lvlJc w:val="left"/>
      <w:pPr>
        <w:tabs>
          <w:tab w:val="num" w:pos="360"/>
        </w:tabs>
      </w:pPr>
    </w:lvl>
    <w:lvl w:ilvl="4" w:tplc="D7B4D474">
      <w:numFmt w:val="none"/>
      <w:lvlText w:val=""/>
      <w:lvlJc w:val="left"/>
      <w:pPr>
        <w:tabs>
          <w:tab w:val="num" w:pos="360"/>
        </w:tabs>
      </w:pPr>
    </w:lvl>
    <w:lvl w:ilvl="5" w:tplc="0B341460">
      <w:numFmt w:val="none"/>
      <w:lvlText w:val=""/>
      <w:lvlJc w:val="left"/>
      <w:pPr>
        <w:tabs>
          <w:tab w:val="num" w:pos="360"/>
        </w:tabs>
      </w:pPr>
    </w:lvl>
    <w:lvl w:ilvl="6" w:tplc="1DA238B4">
      <w:numFmt w:val="none"/>
      <w:lvlText w:val=""/>
      <w:lvlJc w:val="left"/>
      <w:pPr>
        <w:tabs>
          <w:tab w:val="num" w:pos="360"/>
        </w:tabs>
      </w:pPr>
    </w:lvl>
    <w:lvl w:ilvl="7" w:tplc="CB4CC3E0">
      <w:numFmt w:val="none"/>
      <w:lvlText w:val=""/>
      <w:lvlJc w:val="left"/>
      <w:pPr>
        <w:tabs>
          <w:tab w:val="num" w:pos="360"/>
        </w:tabs>
      </w:pPr>
    </w:lvl>
    <w:lvl w:ilvl="8" w:tplc="DAFC709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9E71DAD"/>
    <w:multiLevelType w:val="hybridMultilevel"/>
    <w:tmpl w:val="A4FCF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7BC24"/>
    <w:multiLevelType w:val="hybridMultilevel"/>
    <w:tmpl w:val="6B6CA846"/>
    <w:lvl w:ilvl="0" w:tplc="F2D09D24">
      <w:start w:val="1"/>
      <w:numFmt w:val="bullet"/>
      <w:lvlText w:val="●"/>
      <w:lvlJc w:val="left"/>
      <w:pPr>
        <w:ind w:left="600" w:hanging="360"/>
      </w:pPr>
    </w:lvl>
    <w:lvl w:ilvl="1" w:tplc="0E9821CE">
      <w:start w:val="1"/>
      <w:numFmt w:val="bullet"/>
      <w:lvlText w:val="○"/>
      <w:lvlJc w:val="left"/>
      <w:pPr>
        <w:ind w:left="1200" w:hanging="360"/>
      </w:pPr>
    </w:lvl>
    <w:lvl w:ilvl="2" w:tplc="5F049FEC">
      <w:start w:val="1"/>
      <w:numFmt w:val="bullet"/>
      <w:lvlText w:val="⁃"/>
      <w:lvlJc w:val="left"/>
      <w:pPr>
        <w:ind w:left="1800" w:hanging="360"/>
      </w:pPr>
    </w:lvl>
    <w:lvl w:ilvl="3" w:tplc="C644C400">
      <w:numFmt w:val="none"/>
      <w:lvlText w:val=""/>
      <w:lvlJc w:val="left"/>
      <w:pPr>
        <w:tabs>
          <w:tab w:val="num" w:pos="360"/>
        </w:tabs>
      </w:pPr>
    </w:lvl>
    <w:lvl w:ilvl="4" w:tplc="C93ED2D0">
      <w:numFmt w:val="none"/>
      <w:lvlText w:val=""/>
      <w:lvlJc w:val="left"/>
      <w:pPr>
        <w:tabs>
          <w:tab w:val="num" w:pos="360"/>
        </w:tabs>
      </w:pPr>
    </w:lvl>
    <w:lvl w:ilvl="5" w:tplc="1B52802A">
      <w:numFmt w:val="none"/>
      <w:lvlText w:val=""/>
      <w:lvlJc w:val="left"/>
      <w:pPr>
        <w:tabs>
          <w:tab w:val="num" w:pos="360"/>
        </w:tabs>
      </w:pPr>
    </w:lvl>
    <w:lvl w:ilvl="6" w:tplc="54280718">
      <w:numFmt w:val="none"/>
      <w:lvlText w:val=""/>
      <w:lvlJc w:val="left"/>
      <w:pPr>
        <w:tabs>
          <w:tab w:val="num" w:pos="360"/>
        </w:tabs>
      </w:pPr>
    </w:lvl>
    <w:lvl w:ilvl="7" w:tplc="A67C934C">
      <w:numFmt w:val="none"/>
      <w:lvlText w:val=""/>
      <w:lvlJc w:val="left"/>
      <w:pPr>
        <w:tabs>
          <w:tab w:val="num" w:pos="360"/>
        </w:tabs>
      </w:pPr>
    </w:lvl>
    <w:lvl w:ilvl="8" w:tplc="345654C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1A64E3E"/>
    <w:multiLevelType w:val="multilevel"/>
    <w:tmpl w:val="48C889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6D474CF"/>
    <w:multiLevelType w:val="multilevel"/>
    <w:tmpl w:val="5A7CD95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2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27"/>
  </w:num>
  <w:num w:numId="11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8"/>
  </w:num>
  <w:num w:numId="16">
    <w:abstractNumId w:val="14"/>
  </w:num>
  <w:num w:numId="17">
    <w:abstractNumId w:val="15"/>
  </w:num>
  <w:num w:numId="18">
    <w:abstractNumId w:val="12"/>
  </w:num>
  <w:num w:numId="19">
    <w:abstractNumId w:val="9"/>
  </w:num>
  <w:num w:numId="20">
    <w:abstractNumId w:val="21"/>
  </w:num>
  <w:num w:numId="21">
    <w:abstractNumId w:val="13"/>
  </w:num>
  <w:num w:numId="22">
    <w:abstractNumId w:val="22"/>
  </w:num>
  <w:num w:numId="23">
    <w:abstractNumId w:val="17"/>
  </w:num>
  <w:num w:numId="24">
    <w:abstractNumId w:val="18"/>
  </w:num>
  <w:num w:numId="25">
    <w:abstractNumId w:val="3"/>
  </w:num>
  <w:num w:numId="26">
    <w:abstractNumId w:val="25"/>
  </w:num>
  <w:num w:numId="27">
    <w:abstractNumId w:val="10"/>
  </w:num>
  <w:num w:numId="28">
    <w:abstractNumId w:val="11"/>
  </w:num>
  <w:num w:numId="29">
    <w:abstractNumId w:val="20"/>
  </w:num>
  <w:num w:numId="30">
    <w:abstractNumId w:val="23"/>
  </w:num>
  <w:num w:numId="31">
    <w:abstractNumId w:val="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365"/>
    <w:rsid w:val="000321FF"/>
    <w:rsid w:val="00194A1D"/>
    <w:rsid w:val="006A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65"/>
    <w:pPr>
      <w:spacing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6A3365"/>
    <w:pPr>
      <w:keepNext/>
      <w:keepLines/>
      <w:numPr>
        <w:numId w:val="17"/>
      </w:numPr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paragraph" w:customStyle="1" w:styleId="Heading2">
    <w:name w:val="Heading 2"/>
    <w:basedOn w:val="Normalny"/>
    <w:next w:val="Normalny"/>
    <w:link w:val="Nagwek2Znak"/>
    <w:qFormat/>
    <w:rsid w:val="006A3365"/>
    <w:pPr>
      <w:keepNext/>
      <w:keepLines/>
      <w:numPr>
        <w:ilvl w:val="1"/>
        <w:numId w:val="17"/>
      </w:numPr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paragraph" w:customStyle="1" w:styleId="Heading3">
    <w:name w:val="Heading 3"/>
    <w:basedOn w:val="Normalny"/>
    <w:next w:val="Normalny"/>
    <w:link w:val="Nagwek3Znak"/>
    <w:qFormat/>
    <w:rsid w:val="006A3365"/>
    <w:pPr>
      <w:keepNext/>
      <w:keepLines/>
      <w:numPr>
        <w:ilvl w:val="2"/>
        <w:numId w:val="17"/>
      </w:numPr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szCs w:val="24"/>
    </w:rPr>
  </w:style>
  <w:style w:type="paragraph" w:customStyle="1" w:styleId="Heading4">
    <w:name w:val="Heading 4"/>
    <w:basedOn w:val="Normalny"/>
    <w:next w:val="Normalny"/>
    <w:link w:val="Nagwek4Znak"/>
    <w:semiHidden/>
    <w:qFormat/>
    <w:rsid w:val="006A3365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</w:rPr>
  </w:style>
  <w:style w:type="paragraph" w:styleId="Tytu">
    <w:name w:val="Title"/>
    <w:basedOn w:val="Normalny"/>
    <w:next w:val="Normalny"/>
    <w:link w:val="TytuZnak"/>
    <w:qFormat/>
    <w:rsid w:val="006A3365"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qFormat/>
    <w:rsid w:val="006A3365"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qFormat/>
    <w:rsid w:val="006A3365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6A33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qFormat/>
    <w:rsid w:val="006A3365"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qFormat/>
    <w:rsid w:val="006A3365"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customStyle="1" w:styleId="Header">
    <w:name w:val="Header"/>
    <w:basedOn w:val="Normalny"/>
    <w:link w:val="NagwekZnak"/>
    <w:rsid w:val="006A336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rsid w:val="006A3365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paragraph" w:styleId="Nagwekspisutreci">
    <w:name w:val="TOC Heading"/>
    <w:basedOn w:val="Heading1"/>
    <w:next w:val="Normalny"/>
    <w:qFormat/>
    <w:rsid w:val="006A3365"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customStyle="1" w:styleId="TOC1">
    <w:name w:val="TOC 1"/>
    <w:basedOn w:val="Normalny"/>
    <w:next w:val="Normalny"/>
    <w:rsid w:val="006A3365"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customStyle="1" w:styleId="TOC2">
    <w:name w:val="TOC 2"/>
    <w:basedOn w:val="Normalny"/>
    <w:next w:val="Normalny"/>
    <w:rsid w:val="006A3365"/>
    <w:pPr>
      <w:spacing w:before="120" w:after="0"/>
    </w:pPr>
    <w:rPr>
      <w:rFonts w:cstheme="minorHAnsi"/>
      <w:b/>
      <w:bCs/>
    </w:rPr>
  </w:style>
  <w:style w:type="paragraph" w:customStyle="1" w:styleId="TOC3">
    <w:name w:val="TOC 3"/>
    <w:basedOn w:val="Normalny"/>
    <w:next w:val="Normalny"/>
    <w:rsid w:val="006A3365"/>
    <w:pPr>
      <w:spacing w:after="0"/>
      <w:ind w:left="200"/>
    </w:pPr>
    <w:rPr>
      <w:rFonts w:cstheme="minorHAnsi"/>
    </w:rPr>
  </w:style>
  <w:style w:type="paragraph" w:customStyle="1" w:styleId="TOC4">
    <w:name w:val="TOC 4"/>
    <w:basedOn w:val="Normalny"/>
    <w:next w:val="Normalny"/>
    <w:rsid w:val="006A3365"/>
    <w:pPr>
      <w:spacing w:after="0"/>
      <w:ind w:left="400"/>
    </w:pPr>
    <w:rPr>
      <w:rFonts w:cstheme="minorHAnsi"/>
    </w:rPr>
  </w:style>
  <w:style w:type="paragraph" w:customStyle="1" w:styleId="TOC5">
    <w:name w:val="TOC 5"/>
    <w:basedOn w:val="Normalny"/>
    <w:next w:val="Normalny"/>
    <w:rsid w:val="006A3365"/>
    <w:pPr>
      <w:spacing w:after="0"/>
      <w:ind w:left="600"/>
    </w:pPr>
    <w:rPr>
      <w:rFonts w:cstheme="minorHAnsi"/>
    </w:rPr>
  </w:style>
  <w:style w:type="paragraph" w:customStyle="1" w:styleId="TOC6">
    <w:name w:val="TOC 6"/>
    <w:basedOn w:val="Normalny"/>
    <w:next w:val="Normalny"/>
    <w:rsid w:val="006A3365"/>
    <w:pPr>
      <w:spacing w:after="0"/>
      <w:ind w:left="800"/>
    </w:pPr>
    <w:rPr>
      <w:rFonts w:cstheme="minorHAnsi"/>
    </w:rPr>
  </w:style>
  <w:style w:type="paragraph" w:customStyle="1" w:styleId="TOC7">
    <w:name w:val="TOC 7"/>
    <w:basedOn w:val="Normalny"/>
    <w:next w:val="Normalny"/>
    <w:rsid w:val="006A3365"/>
    <w:pPr>
      <w:spacing w:after="0"/>
      <w:ind w:left="1000"/>
    </w:pPr>
    <w:rPr>
      <w:rFonts w:cstheme="minorHAnsi"/>
    </w:rPr>
  </w:style>
  <w:style w:type="paragraph" w:customStyle="1" w:styleId="TOC8">
    <w:name w:val="TOC 8"/>
    <w:basedOn w:val="Normalny"/>
    <w:next w:val="Normalny"/>
    <w:rsid w:val="006A3365"/>
    <w:pPr>
      <w:spacing w:after="0"/>
      <w:ind w:left="1200"/>
    </w:pPr>
    <w:rPr>
      <w:rFonts w:cstheme="minorHAnsi"/>
    </w:rPr>
  </w:style>
  <w:style w:type="paragraph" w:customStyle="1" w:styleId="TOC9">
    <w:name w:val="TOC 9"/>
    <w:basedOn w:val="Normalny"/>
    <w:next w:val="Normalny"/>
    <w:rsid w:val="006A3365"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rsid w:val="006A3365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A3365"/>
    <w:rPr>
      <w:b/>
      <w:bCs/>
    </w:rPr>
  </w:style>
  <w:style w:type="paragraph" w:customStyle="1" w:styleId="Caption">
    <w:name w:val="Caption"/>
    <w:basedOn w:val="Normalny"/>
    <w:next w:val="Normalny"/>
    <w:qFormat/>
    <w:rsid w:val="006A3365"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customStyle="1" w:styleId="EndnoteText">
    <w:name w:val="Endnote Text"/>
    <w:basedOn w:val="Normalny"/>
    <w:link w:val="TekstprzypisukocowegoZnak"/>
    <w:semiHidden/>
    <w:rsid w:val="006A3365"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  <w:rsid w:val="006A3365"/>
  </w:style>
  <w:style w:type="paragraph" w:customStyle="1" w:styleId="Naglowek4">
    <w:name w:val="Naglowek 4"/>
    <w:basedOn w:val="Heading3"/>
    <w:next w:val="Heading4"/>
    <w:qFormat/>
    <w:rsid w:val="006A3365"/>
    <w:pPr>
      <w:spacing w:before="120" w:after="120"/>
    </w:pPr>
  </w:style>
  <w:style w:type="paragraph" w:customStyle="1" w:styleId="Styl2">
    <w:name w:val="Styl2"/>
    <w:basedOn w:val="Heading3"/>
    <w:next w:val="Naglowek4"/>
    <w:qFormat/>
    <w:rsid w:val="006A3365"/>
  </w:style>
  <w:style w:type="paragraph" w:customStyle="1" w:styleId="Styl3">
    <w:name w:val="Styl3"/>
    <w:basedOn w:val="Heading3"/>
    <w:qFormat/>
    <w:rsid w:val="006A3365"/>
    <w:pPr>
      <w:numPr>
        <w:ilvl w:val="3"/>
      </w:numPr>
    </w:pPr>
  </w:style>
  <w:style w:type="paragraph" w:customStyle="1" w:styleId="Styl31">
    <w:name w:val="Styl31"/>
    <w:basedOn w:val="Heading3"/>
    <w:next w:val="Styl3"/>
    <w:qFormat/>
    <w:rsid w:val="006A3365"/>
    <w:pPr>
      <w:numPr>
        <w:numId w:val="0"/>
      </w:numPr>
      <w:ind w:left="1080" w:hanging="1080"/>
    </w:pPr>
  </w:style>
  <w:style w:type="paragraph" w:customStyle="1" w:styleId="SmallTitle">
    <w:name w:val="SmallTitle"/>
    <w:basedOn w:val="Normalny"/>
    <w:link w:val="SmallTitleZnak"/>
    <w:qFormat/>
    <w:rsid w:val="006A3365"/>
    <w:pPr>
      <w:spacing w:line="259" w:lineRule="auto"/>
      <w:jc w:val="center"/>
    </w:pPr>
    <w:rPr>
      <w:b/>
      <w:bCs/>
    </w:rPr>
  </w:style>
  <w:style w:type="paragraph" w:customStyle="1" w:styleId="SmallSubtitle">
    <w:name w:val="SmallSubtitle"/>
    <w:basedOn w:val="Normalny"/>
    <w:link w:val="SmallSubtitleZnak"/>
    <w:qFormat/>
    <w:rsid w:val="006A3365"/>
    <w:pPr>
      <w:keepNext/>
      <w:spacing w:before="240"/>
    </w:pPr>
    <w:rPr>
      <w:b/>
      <w:caps/>
      <w:lang w:val="en-US"/>
    </w:rPr>
  </w:style>
  <w:style w:type="paragraph" w:customStyle="1" w:styleId="FootnoteText">
    <w:name w:val="Footnote Text"/>
    <w:link w:val="FootnoteTextChar"/>
    <w:semiHidden/>
    <w:rsid w:val="006A3365"/>
    <w:pPr>
      <w:spacing w:after="0" w:line="240" w:lineRule="auto"/>
    </w:pPr>
    <w:rPr>
      <w:szCs w:val="20"/>
    </w:rPr>
  </w:style>
  <w:style w:type="paragraph" w:customStyle="1" w:styleId="Heading5">
    <w:name w:val="Heading 5"/>
    <w:next w:val="Normalny"/>
    <w:rsid w:val="006A3365"/>
    <w:pPr>
      <w:keepNext/>
      <w:spacing w:before="240" w:after="120"/>
    </w:pPr>
    <w:rPr>
      <w:b/>
    </w:rPr>
  </w:style>
  <w:style w:type="character" w:customStyle="1" w:styleId="LineNumber">
    <w:name w:val="Line Number"/>
    <w:basedOn w:val="Domylnaczcionkaakapitu"/>
    <w:semiHidden/>
    <w:rsid w:val="006A3365"/>
  </w:style>
  <w:style w:type="character" w:styleId="Hipercze">
    <w:name w:val="Hyperlink"/>
    <w:basedOn w:val="Domylnaczcionkaakapitu"/>
    <w:rsid w:val="006A336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Heading1"/>
    <w:rsid w:val="006A3365"/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rsid w:val="006A3365"/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character" w:customStyle="1" w:styleId="TytuZnak">
    <w:name w:val="Tytuł Znak"/>
    <w:basedOn w:val="Domylnaczcionkaakapitu"/>
    <w:link w:val="Tytu"/>
    <w:rsid w:val="006A3365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PodtytuZnak">
    <w:name w:val="Podtytuł Znak"/>
    <w:basedOn w:val="Domylnaczcionkaakapitu"/>
    <w:link w:val="Podtytu"/>
    <w:rsid w:val="006A3365"/>
    <w:rPr>
      <w:rFonts w:eastAsiaTheme="minorEastAsia"/>
      <w:color w:val="auto"/>
      <w:szCs w:val="14"/>
    </w:rPr>
  </w:style>
  <w:style w:type="character" w:customStyle="1" w:styleId="Nagwek3Znak">
    <w:name w:val="Nagłówek 3 Znak"/>
    <w:basedOn w:val="Domylnaczcionkaakapitu"/>
    <w:link w:val="Heading3"/>
    <w:rsid w:val="006A3365"/>
    <w:rPr>
      <w:rFonts w:asciiTheme="majorHAnsi" w:eastAsiaTheme="majorEastAsia" w:hAnsiTheme="majorHAnsi" w:cstheme="majorBidi"/>
      <w:b/>
      <w:smallCaps/>
      <w:color w:val="3C3F49"/>
      <w:sz w:val="20"/>
      <w:szCs w:val="24"/>
    </w:rPr>
  </w:style>
  <w:style w:type="character" w:styleId="Wyrnieniedelikatne">
    <w:name w:val="Subtle Emphasis"/>
    <w:aliases w:val="Źródło"/>
    <w:basedOn w:val="Domylnaczcionkaakapitu"/>
    <w:rsid w:val="006A3365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sid w:val="006A3365"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sid w:val="006A3365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sid w:val="006A3365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Header"/>
    <w:rsid w:val="006A3365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Footer"/>
    <w:rsid w:val="006A3365"/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semiHidden/>
    <w:rsid w:val="006A336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6A3365"/>
  </w:style>
  <w:style w:type="character" w:customStyle="1" w:styleId="TematkomentarzaZnak">
    <w:name w:val="Temat komentarza Znak"/>
    <w:basedOn w:val="TekstkomentarzaZnak"/>
    <w:link w:val="Tematkomentarza"/>
    <w:semiHidden/>
    <w:rsid w:val="006A3365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semiHidden/>
    <w:rsid w:val="006A3365"/>
  </w:style>
  <w:style w:type="character" w:customStyle="1" w:styleId="EndnoteReference">
    <w:name w:val="Endnote Reference"/>
    <w:basedOn w:val="Domylnaczcionkaakapitu"/>
    <w:semiHidden/>
    <w:rsid w:val="006A3365"/>
    <w:rPr>
      <w:vertAlign w:val="superscript"/>
    </w:rPr>
  </w:style>
  <w:style w:type="character" w:customStyle="1" w:styleId="Styl1Znak">
    <w:name w:val="Styl1 Znak"/>
    <w:basedOn w:val="PodtytuZnak"/>
    <w:link w:val="Styl1"/>
    <w:rsid w:val="006A3365"/>
    <w:rPr>
      <w:rFonts w:eastAsiaTheme="minorEastAsia"/>
      <w:color w:val="auto"/>
      <w:szCs w:val="14"/>
    </w:rPr>
  </w:style>
  <w:style w:type="character" w:customStyle="1" w:styleId="Nagwek4Znak">
    <w:name w:val="Nagłówek 4 Znak"/>
    <w:basedOn w:val="Domylnaczcionkaakapitu"/>
    <w:link w:val="Heading4"/>
    <w:semiHidden/>
    <w:rsid w:val="006A3365"/>
    <w:rPr>
      <w:rFonts w:asciiTheme="majorHAnsi" w:eastAsiaTheme="majorEastAsia" w:hAnsiTheme="majorHAnsi" w:cstheme="majorBidi"/>
      <w:b/>
      <w:iCs/>
      <w:smallCaps/>
      <w:color w:val="234466" w:themeColor="accent1" w:themeShade="BF"/>
    </w:rPr>
  </w:style>
  <w:style w:type="character" w:customStyle="1" w:styleId="SmallTitleZnak">
    <w:name w:val="SmallTitle Znak"/>
    <w:basedOn w:val="Domylnaczcionkaakapitu"/>
    <w:link w:val="SmallTitle"/>
    <w:rsid w:val="006A3365"/>
    <w:rPr>
      <w:rFonts w:ascii="Times New Roman" w:hAnsi="Times New Roman"/>
      <w:b/>
      <w:bCs/>
    </w:rPr>
  </w:style>
  <w:style w:type="character" w:customStyle="1" w:styleId="SmallSubtitleZnak">
    <w:name w:val="SmallSubtitle Znak"/>
    <w:basedOn w:val="Domylnaczcionkaakapitu"/>
    <w:link w:val="SmallSubtitle"/>
    <w:rsid w:val="006A3365"/>
    <w:rPr>
      <w:rFonts w:ascii="Times New Roman" w:hAnsi="Times New Roman"/>
      <w:b/>
      <w:caps/>
      <w:lang w:val="en-US"/>
    </w:rPr>
  </w:style>
  <w:style w:type="character" w:customStyle="1" w:styleId="FootnoteReference">
    <w:name w:val="Footnote Reference"/>
    <w:semiHidden/>
    <w:rsid w:val="006A3365"/>
    <w:rPr>
      <w:vertAlign w:val="superscript"/>
    </w:rPr>
  </w:style>
  <w:style w:type="character" w:customStyle="1" w:styleId="FootnoteTextChar">
    <w:name w:val="Footnote Text Char"/>
    <w:link w:val="FootnoteText"/>
    <w:semiHidden/>
    <w:rsid w:val="006A3365"/>
    <w:rPr>
      <w:sz w:val="20"/>
      <w:szCs w:val="20"/>
    </w:rPr>
  </w:style>
  <w:style w:type="character" w:customStyle="1" w:styleId="EndnoteTextChar">
    <w:name w:val="Endnote Text Char"/>
    <w:semiHidden/>
    <w:rsid w:val="006A3365"/>
    <w:rPr>
      <w:sz w:val="20"/>
      <w:szCs w:val="20"/>
    </w:rPr>
  </w:style>
  <w:style w:type="table" w:styleId="Tabela-Prosty1">
    <w:name w:val="Table Simple 1"/>
    <w:basedOn w:val="Standardowy"/>
    <w:rsid w:val="006A33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6A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urulis">
    <w:name w:val="Tabela Curulis"/>
    <w:basedOn w:val="Standardowy"/>
    <w:rsid w:val="006A3365"/>
    <w:pPr>
      <w:spacing w:after="0" w:line="276" w:lineRule="auto"/>
      <w:jc w:val="right"/>
    </w:pPr>
    <w:rPr>
      <w:rFonts w:ascii="Arial" w:hAnsi="Arial"/>
      <w:sz w:val="18"/>
    </w:rPr>
    <w:tblPr>
      <w:tblInd w:w="0" w:type="dxa"/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rsid w:val="006A3365"/>
    <w:pPr>
      <w:spacing w:line="240" w:lineRule="auto"/>
    </w:pPr>
    <w:tblPr>
      <w:tblInd w:w="0" w:type="dxa"/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75EC-6D52-46E9-B8D0-DADF27B5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2434</Words>
  <Characters>14607</Characters>
  <Application>Microsoft Office Word</Application>
  <DocSecurity>0</DocSecurity>
  <Lines>121</Lines>
  <Paragraphs>34</Paragraphs>
  <ScaleCrop>false</ScaleCrop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Sawko</dc:creator>
  <cp:keywords>Curulis Sp. z o.o.</cp:keywords>
  <cp:lastModifiedBy>Skarbnik Lap</cp:lastModifiedBy>
  <cp:revision>25</cp:revision>
  <cp:lastPrinted>2022-01-03T14:26:00Z</cp:lastPrinted>
  <dcterms:created xsi:type="dcterms:W3CDTF">2022-01-24T19:12:00Z</dcterms:created>
  <dcterms:modified xsi:type="dcterms:W3CDTF">2023-04-26T13:27:00Z</dcterms:modified>
</cp:coreProperties>
</file>